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C40B" w14:textId="2695C41E" w:rsidR="0012388D" w:rsidRDefault="00772BDC" w:rsidP="00CA5734">
      <w:pPr>
        <w:rPr>
          <w:rFonts w:cs="Arial"/>
        </w:rPr>
      </w:pPr>
      <w:r>
        <w:rPr>
          <w:rFonts w:cs="Arial"/>
          <w:noProof/>
          <w:lang w:eastAsia="en-GB" w:bidi="ar-SA"/>
        </w:rPr>
        <w:drawing>
          <wp:inline distT="0" distB="0" distL="0" distR="0" wp14:anchorId="367C1455" wp14:editId="5A91864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FDCBABB" w14:textId="77777777" w:rsidR="00A671E6" w:rsidRPr="00A671E6" w:rsidRDefault="00A671E6" w:rsidP="00A671E6">
      <w:pPr>
        <w:rPr>
          <w:color w:val="FF0000"/>
        </w:rPr>
      </w:pPr>
    </w:p>
    <w:p w14:paraId="46DACBD7" w14:textId="6DBF0452" w:rsidR="00A671E6" w:rsidRPr="00845D45" w:rsidRDefault="00845D45" w:rsidP="00A671E6">
      <w:pPr>
        <w:rPr>
          <w:b/>
          <w:sz w:val="28"/>
          <w:szCs w:val="28"/>
        </w:rPr>
      </w:pPr>
      <w:r w:rsidRPr="00845D45">
        <w:rPr>
          <w:b/>
          <w:sz w:val="28"/>
          <w:szCs w:val="28"/>
        </w:rPr>
        <w:t>12 May 2021</w:t>
      </w:r>
    </w:p>
    <w:p w14:paraId="5415B141" w14:textId="63E116BD" w:rsidR="00845D45" w:rsidRPr="00845D45" w:rsidRDefault="00845D45" w:rsidP="00A671E6">
      <w:pPr>
        <w:rPr>
          <w:b/>
          <w:sz w:val="28"/>
          <w:szCs w:val="28"/>
        </w:rPr>
      </w:pPr>
      <w:r w:rsidRPr="00845D45">
        <w:rPr>
          <w:b/>
          <w:sz w:val="28"/>
          <w:szCs w:val="28"/>
        </w:rPr>
        <w:t>155-21</w:t>
      </w:r>
    </w:p>
    <w:p w14:paraId="52CAC182" w14:textId="77777777" w:rsidR="00A671E6" w:rsidRPr="00A671E6" w:rsidRDefault="00A671E6" w:rsidP="00A671E6"/>
    <w:p w14:paraId="476E803A" w14:textId="62FE16E9"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B9066F" w:rsidRPr="00B9066F">
        <w:t>Application A1216</w:t>
      </w:r>
    </w:p>
    <w:p w14:paraId="753A0F67" w14:textId="77777777" w:rsidR="003A7B84" w:rsidRPr="00CA5734" w:rsidRDefault="003A7B84" w:rsidP="00A671E6"/>
    <w:p w14:paraId="0E4A75CC" w14:textId="77777777" w:rsidR="00B9066F" w:rsidRPr="002A4310" w:rsidRDefault="00B9066F" w:rsidP="00B9066F">
      <w:pPr>
        <w:pStyle w:val="FSTitle"/>
      </w:pPr>
      <w:r w:rsidRPr="002A4310">
        <w:t xml:space="preserve">Food derived from </w:t>
      </w:r>
      <w:r>
        <w:t>herbicide-tolerant canola line MON94100</w:t>
      </w:r>
    </w:p>
    <w:p w14:paraId="43CCF468" w14:textId="77777777" w:rsidR="003A7B84" w:rsidRPr="00E327A6" w:rsidRDefault="003A7B84" w:rsidP="00871116">
      <w:pPr>
        <w:pBdr>
          <w:bottom w:val="single" w:sz="12" w:space="1" w:color="auto"/>
        </w:pBdr>
        <w:tabs>
          <w:tab w:val="left" w:pos="1140"/>
        </w:tabs>
        <w:rPr>
          <w:rFonts w:cs="Arial"/>
          <w:bCs/>
        </w:rPr>
      </w:pPr>
    </w:p>
    <w:p w14:paraId="28C9060F" w14:textId="77777777" w:rsidR="003A7B84" w:rsidRPr="00E327A6" w:rsidRDefault="003A7B84" w:rsidP="003A7B84"/>
    <w:p w14:paraId="42FA43D7" w14:textId="25768A79" w:rsidR="00EB6590" w:rsidRPr="000A5E99" w:rsidRDefault="000F3CFE" w:rsidP="00CA5734">
      <w:pPr>
        <w:rPr>
          <w:szCs w:val="22"/>
        </w:rPr>
      </w:pPr>
      <w:r w:rsidRPr="000A5E99">
        <w:rPr>
          <w:szCs w:val="22"/>
        </w:rPr>
        <w:t>Food Standards Australia New Zealand (FSANZ) has</w:t>
      </w:r>
      <w:r w:rsidR="00081B0A" w:rsidRPr="000A5E99">
        <w:rPr>
          <w:szCs w:val="22"/>
        </w:rPr>
        <w:t xml:space="preserve"> assessed an application</w:t>
      </w:r>
      <w:r w:rsidR="00CA5734" w:rsidRPr="000A5E99">
        <w:rPr>
          <w:szCs w:val="22"/>
        </w:rPr>
        <w:t xml:space="preserve"> </w:t>
      </w:r>
      <w:r w:rsidR="00081B0A" w:rsidRPr="000A5E99">
        <w:rPr>
          <w:szCs w:val="22"/>
        </w:rPr>
        <w:t xml:space="preserve">made by </w:t>
      </w:r>
      <w:r w:rsidR="00080062" w:rsidRPr="000A5E99">
        <w:rPr>
          <w:szCs w:val="22"/>
        </w:rPr>
        <w:t xml:space="preserve">Bayer CropScience Proprietary Limited </w:t>
      </w:r>
      <w:r w:rsidR="00CA5734" w:rsidRPr="000A5E99">
        <w:rPr>
          <w:szCs w:val="22"/>
        </w:rPr>
        <w:t>to</w:t>
      </w:r>
      <w:r w:rsidR="00081B0A" w:rsidRPr="000A5E99">
        <w:rPr>
          <w:szCs w:val="22"/>
        </w:rPr>
        <w:t xml:space="preserve"> </w:t>
      </w:r>
      <w:r w:rsidR="00080062" w:rsidRPr="000A5E99">
        <w:rPr>
          <w:szCs w:val="22"/>
        </w:rPr>
        <w:t>permit the sale and use of food derived from a food produced using gene technology: canola line MON94100. This canola line has been genetically modified for tolerance to the herbicide dicamba.</w:t>
      </w:r>
    </w:p>
    <w:p w14:paraId="16097982" w14:textId="77777777" w:rsidR="00CA5734" w:rsidRPr="000A5E99" w:rsidRDefault="00CA5734" w:rsidP="00CA5734">
      <w:pPr>
        <w:rPr>
          <w:szCs w:val="22"/>
        </w:rPr>
      </w:pPr>
      <w:bookmarkStart w:id="0" w:name="_GoBack"/>
      <w:bookmarkEnd w:id="0"/>
    </w:p>
    <w:p w14:paraId="04872102" w14:textId="7C4F41F9" w:rsidR="00081B0A" w:rsidRPr="000A5E99" w:rsidRDefault="00081B0A" w:rsidP="00CA5734">
      <w:pPr>
        <w:rPr>
          <w:szCs w:val="22"/>
        </w:rPr>
      </w:pPr>
      <w:r w:rsidRPr="000A5E99">
        <w:rPr>
          <w:szCs w:val="22"/>
        </w:rPr>
        <w:t xml:space="preserve">On </w:t>
      </w:r>
      <w:r w:rsidR="00080062" w:rsidRPr="000A5E99">
        <w:rPr>
          <w:szCs w:val="22"/>
        </w:rPr>
        <w:t>18 January 2021</w:t>
      </w:r>
      <w:r w:rsidR="003A7B84" w:rsidRPr="000A5E99">
        <w:rPr>
          <w:szCs w:val="22"/>
        </w:rPr>
        <w:t>,</w:t>
      </w:r>
      <w:r w:rsidRPr="000A5E99">
        <w:rPr>
          <w:color w:val="FF0000"/>
          <w:szCs w:val="22"/>
        </w:rPr>
        <w:t xml:space="preserve"> </w:t>
      </w:r>
      <w:r w:rsidRPr="000A5E99">
        <w:rPr>
          <w:szCs w:val="22"/>
        </w:rPr>
        <w:t xml:space="preserve">FSANZ sought </w:t>
      </w:r>
      <w:hyperlink r:id="rId16" w:history="1">
        <w:r w:rsidR="003A7B84" w:rsidRPr="000A5E99">
          <w:rPr>
            <w:rStyle w:val="Hyperlink"/>
            <w:szCs w:val="22"/>
          </w:rPr>
          <w:t>submissions</w:t>
        </w:r>
      </w:hyperlink>
      <w:r w:rsidR="003A7B84" w:rsidRPr="000A5E99">
        <w:rPr>
          <w:szCs w:val="22"/>
        </w:rPr>
        <w:t xml:space="preserve"> </w:t>
      </w:r>
      <w:r w:rsidR="00A671E6" w:rsidRPr="000A5E99">
        <w:rPr>
          <w:szCs w:val="22"/>
        </w:rPr>
        <w:t xml:space="preserve">on </w:t>
      </w:r>
      <w:r w:rsidR="00F526BD" w:rsidRPr="000A5E99">
        <w:rPr>
          <w:szCs w:val="22"/>
        </w:rPr>
        <w:t>a draft</w:t>
      </w:r>
      <w:r w:rsidR="00080062" w:rsidRPr="000A5E99">
        <w:rPr>
          <w:szCs w:val="22"/>
        </w:rPr>
        <w:t xml:space="preserve"> variation to Schedule 26 </w:t>
      </w:r>
      <w:r w:rsidR="00D148DD">
        <w:rPr>
          <w:szCs w:val="22"/>
        </w:rPr>
        <w:t xml:space="preserve">of the Australia New Zealand Food Standards Code </w:t>
      </w:r>
      <w:r w:rsidR="003A7B84" w:rsidRPr="000A5E99">
        <w:rPr>
          <w:szCs w:val="22"/>
        </w:rPr>
        <w:t xml:space="preserve">and published an </w:t>
      </w:r>
      <w:r w:rsidR="00EC21DF" w:rsidRPr="000A5E99">
        <w:rPr>
          <w:szCs w:val="22"/>
        </w:rPr>
        <w:t>associated r</w:t>
      </w:r>
      <w:r w:rsidR="003A7B84" w:rsidRPr="000A5E99">
        <w:rPr>
          <w:szCs w:val="22"/>
        </w:rPr>
        <w:t>eport</w:t>
      </w:r>
      <w:r w:rsidRPr="000A5E99">
        <w:rPr>
          <w:szCs w:val="22"/>
        </w:rPr>
        <w:t>.</w:t>
      </w:r>
      <w:r w:rsidR="00F526BD" w:rsidRPr="000A5E99">
        <w:rPr>
          <w:szCs w:val="22"/>
        </w:rPr>
        <w:t xml:space="preserve"> FSANZ received </w:t>
      </w:r>
      <w:r w:rsidR="001A0175">
        <w:rPr>
          <w:szCs w:val="22"/>
        </w:rPr>
        <w:t>three</w:t>
      </w:r>
      <w:r w:rsidR="00F526BD" w:rsidRPr="000A5E99">
        <w:rPr>
          <w:szCs w:val="22"/>
        </w:rPr>
        <w:t xml:space="preserve"> submissions.</w:t>
      </w:r>
    </w:p>
    <w:p w14:paraId="4F0A06B8" w14:textId="77777777" w:rsidR="00CA5734" w:rsidRPr="000A5E99" w:rsidRDefault="00CA5734" w:rsidP="00CA5734">
      <w:pPr>
        <w:rPr>
          <w:szCs w:val="22"/>
        </w:rPr>
      </w:pPr>
    </w:p>
    <w:p w14:paraId="4EB09523" w14:textId="19E6C3D1" w:rsidR="00081B0A" w:rsidRPr="00845D45" w:rsidRDefault="00081B0A" w:rsidP="00CA5734">
      <w:pPr>
        <w:rPr>
          <w:szCs w:val="22"/>
        </w:rPr>
      </w:pPr>
      <w:r w:rsidRPr="000A5E99">
        <w:rPr>
          <w:szCs w:val="22"/>
        </w:rPr>
        <w:t xml:space="preserve">FSANZ approved the draft </w:t>
      </w:r>
      <w:r w:rsidR="00080062" w:rsidRPr="000A5E99">
        <w:rPr>
          <w:szCs w:val="22"/>
        </w:rPr>
        <w:t>variation</w:t>
      </w:r>
      <w:r w:rsidR="003A7B84" w:rsidRPr="000A5E99">
        <w:rPr>
          <w:szCs w:val="22"/>
        </w:rPr>
        <w:t xml:space="preserve"> </w:t>
      </w:r>
      <w:r w:rsidR="0012388D" w:rsidRPr="000A5E99">
        <w:rPr>
          <w:szCs w:val="22"/>
        </w:rPr>
        <w:t xml:space="preserve">on </w:t>
      </w:r>
      <w:r w:rsidR="00845D45" w:rsidRPr="00845D45">
        <w:rPr>
          <w:szCs w:val="22"/>
        </w:rPr>
        <w:t>28 April 2021.</w:t>
      </w:r>
      <w:r w:rsidRPr="00845D45">
        <w:rPr>
          <w:szCs w:val="22"/>
        </w:rPr>
        <w:t xml:space="preserve"> </w:t>
      </w:r>
      <w:r w:rsidR="003A7B84" w:rsidRPr="000A5E99">
        <w:rPr>
          <w:szCs w:val="22"/>
        </w:rPr>
        <w:t xml:space="preserve">The </w:t>
      </w:r>
      <w:r w:rsidR="001A0175">
        <w:rPr>
          <w:rFonts w:cs="Helvetica"/>
          <w:szCs w:val="22"/>
          <w:lang w:val="en-AU"/>
        </w:rPr>
        <w:t>Food Ministers’ Meeting</w:t>
      </w:r>
      <w:r w:rsidR="003A7B84" w:rsidRPr="000A5E99">
        <w:rPr>
          <w:szCs w:val="22"/>
        </w:rPr>
        <w:t xml:space="preserve"> </w:t>
      </w:r>
      <w:r w:rsidR="006C264D">
        <w:rPr>
          <w:szCs w:val="22"/>
        </w:rPr>
        <w:t xml:space="preserve">(formerly the Australia and New Zealand Ministerial Forum on Food Regulation) </w:t>
      </w:r>
      <w:r w:rsidR="003A7B84" w:rsidRPr="000A5E99">
        <w:rPr>
          <w:szCs w:val="22"/>
        </w:rPr>
        <w:t xml:space="preserve">was notified of FSANZ’s decision on </w:t>
      </w:r>
      <w:r w:rsidR="00845D45" w:rsidRPr="00845D45">
        <w:rPr>
          <w:szCs w:val="22"/>
        </w:rPr>
        <w:t>12 May 2021.</w:t>
      </w:r>
    </w:p>
    <w:p w14:paraId="675646D0" w14:textId="77777777" w:rsidR="00CA5734" w:rsidRPr="000A5E99" w:rsidRDefault="00CA5734" w:rsidP="00CA5734">
      <w:pPr>
        <w:rPr>
          <w:szCs w:val="22"/>
        </w:rPr>
      </w:pPr>
    </w:p>
    <w:p w14:paraId="73E7975D" w14:textId="4D758C90" w:rsidR="00081B0A" w:rsidRPr="000A5E99" w:rsidRDefault="003A7B84" w:rsidP="00292B9B">
      <w:pPr>
        <w:rPr>
          <w:szCs w:val="22"/>
        </w:rPr>
      </w:pPr>
      <w:r w:rsidRPr="000A5E99">
        <w:rPr>
          <w:szCs w:val="22"/>
        </w:rPr>
        <w:t>This R</w:t>
      </w:r>
      <w:r w:rsidR="00B425AA" w:rsidRPr="000A5E99">
        <w:rPr>
          <w:szCs w:val="22"/>
        </w:rPr>
        <w:t xml:space="preserve">eport is provided pursuant to </w:t>
      </w:r>
      <w:r w:rsidR="009A2699" w:rsidRPr="000A5E99">
        <w:rPr>
          <w:szCs w:val="22"/>
        </w:rPr>
        <w:t>paragraph</w:t>
      </w:r>
      <w:r w:rsidR="00081B0A" w:rsidRPr="000A5E99">
        <w:rPr>
          <w:szCs w:val="22"/>
        </w:rPr>
        <w:t xml:space="preserve"> 33(1)(b</w:t>
      </w:r>
      <w:r w:rsidR="000A5E99" w:rsidRPr="000A5E99">
        <w:rPr>
          <w:szCs w:val="22"/>
        </w:rPr>
        <w:t>)</w:t>
      </w:r>
      <w:r w:rsidR="00080062" w:rsidRPr="000A5E99">
        <w:rPr>
          <w:szCs w:val="22"/>
        </w:rPr>
        <w:t xml:space="preserve"> </w:t>
      </w:r>
      <w:r w:rsidR="00081B0A" w:rsidRPr="000A5E99">
        <w:rPr>
          <w:szCs w:val="22"/>
        </w:rPr>
        <w:t xml:space="preserve">of the </w:t>
      </w:r>
      <w:r w:rsidR="00081B0A" w:rsidRPr="000A5E99">
        <w:rPr>
          <w:i/>
          <w:szCs w:val="22"/>
        </w:rPr>
        <w:t>Food Standards Australia New Zealand Act 1991</w:t>
      </w:r>
      <w:r w:rsidR="00081B0A" w:rsidRPr="000A5E99">
        <w:rPr>
          <w:szCs w:val="22"/>
        </w:rPr>
        <w:t xml:space="preserve"> (the FSANZ Act).</w:t>
      </w:r>
    </w:p>
    <w:p w14:paraId="29BD6BB5" w14:textId="0A29CDB8" w:rsidR="00080062" w:rsidRDefault="00080062" w:rsidP="00292B9B"/>
    <w:p w14:paraId="00C5CA30" w14:textId="77777777" w:rsidR="00080062" w:rsidRDefault="00080062" w:rsidP="00292B9B"/>
    <w:p w14:paraId="16A6CA04" w14:textId="77777777" w:rsidR="00F526BD" w:rsidRDefault="00F526BD" w:rsidP="00A671E6"/>
    <w:p w14:paraId="17A0BF6A" w14:textId="77777777" w:rsidR="00EB6590" w:rsidRDefault="00EB6590" w:rsidP="00F526BD"/>
    <w:p w14:paraId="0CDC15AF" w14:textId="77777777" w:rsidR="004F3503" w:rsidRDefault="004F3503" w:rsidP="00CC5468"/>
    <w:p w14:paraId="72389BAF" w14:textId="77777777" w:rsidR="004F3503" w:rsidRPr="004F3503" w:rsidRDefault="004F3503" w:rsidP="004F3503"/>
    <w:p w14:paraId="00B982DD" w14:textId="77777777" w:rsidR="004F3503" w:rsidRDefault="004F3503" w:rsidP="004F3503">
      <w:pPr>
        <w:tabs>
          <w:tab w:val="left" w:pos="860"/>
        </w:tabs>
      </w:pPr>
      <w:r>
        <w:tab/>
      </w:r>
    </w:p>
    <w:p w14:paraId="67DDF62E" w14:textId="77777777" w:rsidR="00A671E6" w:rsidRPr="004F3503" w:rsidRDefault="004F3503" w:rsidP="004F3503">
      <w:pPr>
        <w:tabs>
          <w:tab w:val="left" w:pos="860"/>
        </w:tabs>
        <w:sectPr w:rsidR="00A671E6" w:rsidRPr="004F3503"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r>
        <w:tab/>
      </w:r>
    </w:p>
    <w:p w14:paraId="493A2EC2"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820AAEE" w14:textId="77777777" w:rsidR="00CE59AA" w:rsidRPr="00346622" w:rsidRDefault="00CE59AA" w:rsidP="00CE59AA">
      <w:pPr>
        <w:rPr>
          <w:rFonts w:cs="Arial"/>
          <w:sz w:val="20"/>
          <w:szCs w:val="20"/>
        </w:rPr>
      </w:pPr>
    </w:p>
    <w:p w14:paraId="092D37E0" w14:textId="38BA2E8E" w:rsidR="004520B0" w:rsidRPr="00784E92"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784E92">
        <w:rPr>
          <w:rFonts w:ascii="Arial" w:hAnsi="Arial" w:cs="Arial"/>
          <w:b w:val="0"/>
          <w:bCs w:val="0"/>
          <w:caps w:val="0"/>
          <w:smallCaps/>
        </w:rPr>
        <w:fldChar w:fldCharType="begin"/>
      </w:r>
      <w:r w:rsidRPr="00784E92">
        <w:rPr>
          <w:rFonts w:ascii="Arial" w:hAnsi="Arial" w:cs="Arial"/>
        </w:rPr>
        <w:instrText xml:space="preserve"> TOC \h \z \t "Heading 1,1,Heading 2,2,Heading 3,3" </w:instrText>
      </w:r>
      <w:r w:rsidRPr="00784E92">
        <w:rPr>
          <w:rFonts w:ascii="Arial" w:hAnsi="Arial" w:cs="Arial"/>
          <w:b w:val="0"/>
          <w:bCs w:val="0"/>
          <w:caps w:val="0"/>
          <w:smallCaps/>
        </w:rPr>
        <w:fldChar w:fldCharType="separate"/>
      </w:r>
      <w:hyperlink w:anchor="_Toc65164390" w:history="1">
        <w:r w:rsidR="004520B0" w:rsidRPr="00784E92">
          <w:rPr>
            <w:rStyle w:val="Hyperlink"/>
            <w:rFonts w:ascii="Arial" w:hAnsi="Arial" w:cs="Arial"/>
            <w:noProof/>
          </w:rPr>
          <w:t>Executive summary</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_Toc65164390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2</w:t>
        </w:r>
        <w:r w:rsidR="004520B0" w:rsidRPr="00784E92">
          <w:rPr>
            <w:rFonts w:ascii="Arial" w:hAnsi="Arial" w:cs="Arial"/>
            <w:noProof/>
            <w:webHidden/>
          </w:rPr>
          <w:fldChar w:fldCharType="end"/>
        </w:r>
      </w:hyperlink>
    </w:p>
    <w:p w14:paraId="26C54446" w14:textId="654240BB" w:rsidR="004520B0" w:rsidRPr="00784E92" w:rsidRDefault="00845D4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5164391" w:history="1">
        <w:r w:rsidR="004520B0" w:rsidRPr="00784E92">
          <w:rPr>
            <w:rStyle w:val="Hyperlink"/>
            <w:rFonts w:ascii="Arial" w:hAnsi="Arial" w:cs="Arial"/>
            <w:noProof/>
          </w:rPr>
          <w:t>1</w:t>
        </w:r>
        <w:r w:rsidR="004520B0" w:rsidRPr="00784E92">
          <w:rPr>
            <w:rFonts w:ascii="Arial" w:eastAsiaTheme="minorEastAsia" w:hAnsi="Arial" w:cs="Arial"/>
            <w:b w:val="0"/>
            <w:bCs w:val="0"/>
            <w:caps w:val="0"/>
            <w:noProof/>
            <w:sz w:val="22"/>
            <w:szCs w:val="22"/>
            <w:lang w:eastAsia="en-GB" w:bidi="ar-SA"/>
          </w:rPr>
          <w:tab/>
        </w:r>
        <w:r w:rsidR="004520B0" w:rsidRPr="00784E92">
          <w:rPr>
            <w:rStyle w:val="Hyperlink"/>
            <w:rFonts w:ascii="Arial" w:hAnsi="Arial" w:cs="Arial"/>
            <w:noProof/>
          </w:rPr>
          <w:t>Introduction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_Toc65164391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3</w:t>
        </w:r>
        <w:r w:rsidR="004520B0" w:rsidRPr="00784E92">
          <w:rPr>
            <w:rFonts w:ascii="Arial" w:hAnsi="Arial" w:cs="Arial"/>
            <w:noProof/>
            <w:webHidden/>
          </w:rPr>
          <w:fldChar w:fldCharType="end"/>
        </w:r>
      </w:hyperlink>
    </w:p>
    <w:p w14:paraId="78D8F83C" w14:textId="6D8175E7"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2" w:history="1">
        <w:r w:rsidR="004520B0" w:rsidRPr="00784E92">
          <w:rPr>
            <w:rStyle w:val="Hyperlink"/>
            <w:rFonts w:ascii="Arial" w:hAnsi="Arial" w:cs="Arial"/>
            <w:noProof/>
          </w:rPr>
          <w:t>1.1</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The applicant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_Toc65164392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3</w:t>
        </w:r>
        <w:r w:rsidR="004520B0" w:rsidRPr="00784E92">
          <w:rPr>
            <w:rFonts w:ascii="Arial" w:hAnsi="Arial" w:cs="Arial"/>
            <w:noProof/>
            <w:webHidden/>
          </w:rPr>
          <w:fldChar w:fldCharType="end"/>
        </w:r>
      </w:hyperlink>
    </w:p>
    <w:p w14:paraId="36B80897" w14:textId="6BB40005"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3" w:history="1">
        <w:r w:rsidR="004520B0" w:rsidRPr="00784E92">
          <w:rPr>
            <w:rStyle w:val="Hyperlink"/>
            <w:rFonts w:ascii="Arial" w:hAnsi="Arial" w:cs="Arial"/>
            <w:noProof/>
          </w:rPr>
          <w:t>1.2</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The application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_Toc65164393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3</w:t>
        </w:r>
        <w:r w:rsidR="004520B0" w:rsidRPr="00784E92">
          <w:rPr>
            <w:rFonts w:ascii="Arial" w:hAnsi="Arial" w:cs="Arial"/>
            <w:noProof/>
            <w:webHidden/>
          </w:rPr>
          <w:fldChar w:fldCharType="end"/>
        </w:r>
      </w:hyperlink>
    </w:p>
    <w:p w14:paraId="4D2E46D2" w14:textId="3011DF4F"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394" w:history="1">
        <w:r w:rsidR="004520B0" w:rsidRPr="00784E92">
          <w:rPr>
            <w:rStyle w:val="Hyperlink"/>
            <w:rFonts w:ascii="Arial" w:hAnsi="Arial" w:cs="Arial"/>
            <w:noProof/>
          </w:rPr>
          <w:t>1.2.1</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Safety assessment sharing pilot with Health Canada</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_Toc65164394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3</w:t>
        </w:r>
        <w:r w:rsidR="004520B0" w:rsidRPr="00784E92">
          <w:rPr>
            <w:rFonts w:ascii="Arial" w:hAnsi="Arial" w:cs="Arial"/>
            <w:noProof/>
            <w:webHidden/>
          </w:rPr>
          <w:fldChar w:fldCharType="end"/>
        </w:r>
      </w:hyperlink>
    </w:p>
    <w:p w14:paraId="035FC873" w14:textId="07B22FFE"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5" w:history="1">
        <w:r w:rsidR="004520B0" w:rsidRPr="00784E92">
          <w:rPr>
            <w:rStyle w:val="Hyperlink"/>
            <w:rFonts w:ascii="Arial" w:hAnsi="Arial" w:cs="Arial"/>
            <w:noProof/>
          </w:rPr>
          <w:t>1.3</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The current standard</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_Toc65164395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4</w:t>
        </w:r>
        <w:r w:rsidR="004520B0" w:rsidRPr="00784E92">
          <w:rPr>
            <w:rFonts w:ascii="Arial" w:hAnsi="Arial" w:cs="Arial"/>
            <w:noProof/>
            <w:webHidden/>
          </w:rPr>
          <w:fldChar w:fldCharType="end"/>
        </w:r>
      </w:hyperlink>
    </w:p>
    <w:p w14:paraId="0C99954F" w14:textId="6BAF0856"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6" w:history="1">
        <w:r w:rsidR="004520B0" w:rsidRPr="00784E92">
          <w:rPr>
            <w:rStyle w:val="Hyperlink"/>
            <w:rFonts w:ascii="Arial" w:hAnsi="Arial" w:cs="Arial"/>
            <w:noProof/>
            <w:u w:color="FFFF00"/>
          </w:rPr>
          <w:t>1.4</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u w:color="FFFF00"/>
          </w:rPr>
          <w:t>Reasons for accepting the application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_Toc65164396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5</w:t>
        </w:r>
        <w:r w:rsidR="004520B0" w:rsidRPr="00784E92">
          <w:rPr>
            <w:rFonts w:ascii="Arial" w:hAnsi="Arial" w:cs="Arial"/>
            <w:noProof/>
            <w:webHidden/>
          </w:rPr>
          <w:fldChar w:fldCharType="end"/>
        </w:r>
      </w:hyperlink>
    </w:p>
    <w:p w14:paraId="7B01ADA5" w14:textId="37812945"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7" w:history="1">
        <w:r w:rsidR="004520B0" w:rsidRPr="00784E92">
          <w:rPr>
            <w:rStyle w:val="Hyperlink"/>
            <w:rFonts w:ascii="Arial" w:hAnsi="Arial" w:cs="Arial"/>
            <w:noProof/>
          </w:rPr>
          <w:t>1.5</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Procedure for assessment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_Toc65164397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5</w:t>
        </w:r>
        <w:r w:rsidR="004520B0" w:rsidRPr="00784E92">
          <w:rPr>
            <w:rFonts w:ascii="Arial" w:hAnsi="Arial" w:cs="Arial"/>
            <w:noProof/>
            <w:webHidden/>
          </w:rPr>
          <w:fldChar w:fldCharType="end"/>
        </w:r>
      </w:hyperlink>
    </w:p>
    <w:p w14:paraId="0A6F8AC1" w14:textId="383D1F84"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398" w:history="1">
        <w:r w:rsidR="004520B0" w:rsidRPr="00784E92">
          <w:rPr>
            <w:rStyle w:val="Hyperlink"/>
            <w:rFonts w:ascii="Arial" w:hAnsi="Arial" w:cs="Arial"/>
            <w:noProof/>
          </w:rPr>
          <w:t>1.6</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Decision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_Toc65164398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5</w:t>
        </w:r>
        <w:r w:rsidR="004520B0" w:rsidRPr="00784E92">
          <w:rPr>
            <w:rFonts w:ascii="Arial" w:hAnsi="Arial" w:cs="Arial"/>
            <w:noProof/>
            <w:webHidden/>
          </w:rPr>
          <w:fldChar w:fldCharType="end"/>
        </w:r>
      </w:hyperlink>
    </w:p>
    <w:p w14:paraId="742AD2AB" w14:textId="100AF634" w:rsidR="004520B0" w:rsidRPr="00784E92" w:rsidRDefault="00845D4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5164399" w:history="1">
        <w:r w:rsidR="004520B0" w:rsidRPr="00784E92">
          <w:rPr>
            <w:rStyle w:val="Hyperlink"/>
            <w:rFonts w:ascii="Arial" w:hAnsi="Arial" w:cs="Arial"/>
            <w:noProof/>
          </w:rPr>
          <w:t>2</w:t>
        </w:r>
        <w:r w:rsidR="004520B0" w:rsidRPr="00784E92">
          <w:rPr>
            <w:rFonts w:ascii="Arial" w:eastAsiaTheme="minorEastAsia" w:hAnsi="Arial" w:cs="Arial"/>
            <w:b w:val="0"/>
            <w:bCs w:val="0"/>
            <w:caps w:val="0"/>
            <w:noProof/>
            <w:sz w:val="22"/>
            <w:szCs w:val="22"/>
            <w:lang w:eastAsia="en-GB" w:bidi="ar-SA"/>
          </w:rPr>
          <w:tab/>
        </w:r>
        <w:r w:rsidR="004520B0" w:rsidRPr="00784E92">
          <w:rPr>
            <w:rStyle w:val="Hyperlink"/>
            <w:rFonts w:ascii="Arial" w:hAnsi="Arial" w:cs="Arial"/>
            <w:noProof/>
          </w:rPr>
          <w:t xml:space="preserve">Summary </w:t>
        </w:r>
        <w:r w:rsidR="004520B0" w:rsidRPr="00784E92">
          <w:rPr>
            <w:rStyle w:val="Hyperlink"/>
            <w:rFonts w:ascii="Arial" w:hAnsi="Arial" w:cs="Arial"/>
            <w:noProof/>
            <w:u w:color="FFFF00"/>
          </w:rPr>
          <w:t>of</w:t>
        </w:r>
        <w:r w:rsidR="004520B0" w:rsidRPr="00784E92">
          <w:rPr>
            <w:rStyle w:val="Hyperlink"/>
            <w:rFonts w:ascii="Arial" w:hAnsi="Arial" w:cs="Arial"/>
            <w:noProof/>
          </w:rPr>
          <w:t xml:space="preserve"> the assessment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_Toc65164399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5</w:t>
        </w:r>
        <w:r w:rsidR="004520B0" w:rsidRPr="00784E92">
          <w:rPr>
            <w:rFonts w:ascii="Arial" w:hAnsi="Arial" w:cs="Arial"/>
            <w:noProof/>
            <w:webHidden/>
          </w:rPr>
          <w:fldChar w:fldCharType="end"/>
        </w:r>
      </w:hyperlink>
    </w:p>
    <w:p w14:paraId="29E0F20B" w14:textId="1D92B455"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400" w:history="1">
        <w:r w:rsidR="004520B0" w:rsidRPr="00784E92">
          <w:rPr>
            <w:rStyle w:val="Hyperlink"/>
            <w:rFonts w:ascii="Arial" w:hAnsi="Arial" w:cs="Arial"/>
            <w:noProof/>
          </w:rPr>
          <w:t>2.1</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Summary of issues raised in submissions</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_Toc65164400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5</w:t>
        </w:r>
        <w:r w:rsidR="004520B0" w:rsidRPr="00784E92">
          <w:rPr>
            <w:rFonts w:ascii="Arial" w:hAnsi="Arial" w:cs="Arial"/>
            <w:noProof/>
            <w:webHidden/>
          </w:rPr>
          <w:fldChar w:fldCharType="end"/>
        </w:r>
      </w:hyperlink>
    </w:p>
    <w:p w14:paraId="35B256A8" w14:textId="73F8D5CC"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401" w:history="1">
        <w:r w:rsidR="004520B0" w:rsidRPr="00784E92">
          <w:rPr>
            <w:rStyle w:val="Hyperlink"/>
            <w:rFonts w:ascii="Arial" w:hAnsi="Arial" w:cs="Arial"/>
            <w:noProof/>
          </w:rPr>
          <w:t>2.2</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Safety assessment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_Toc65164401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6</w:t>
        </w:r>
        <w:r w:rsidR="004520B0" w:rsidRPr="00784E92">
          <w:rPr>
            <w:rFonts w:ascii="Arial" w:hAnsi="Arial" w:cs="Arial"/>
            <w:noProof/>
            <w:webHidden/>
          </w:rPr>
          <w:fldChar w:fldCharType="end"/>
        </w:r>
      </w:hyperlink>
    </w:p>
    <w:p w14:paraId="15B32986" w14:textId="1DF3319C"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2" w:history="1">
        <w:r w:rsidR="004520B0" w:rsidRPr="00784E92">
          <w:rPr>
            <w:rStyle w:val="Hyperlink"/>
            <w:rFonts w:ascii="Arial" w:hAnsi="Arial" w:cs="Arial"/>
            <w:noProof/>
          </w:rPr>
          <w:t>2.2.1</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Safety assessment sharing process</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_Toc65164402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6</w:t>
        </w:r>
        <w:r w:rsidR="004520B0" w:rsidRPr="00784E92">
          <w:rPr>
            <w:rFonts w:ascii="Arial" w:hAnsi="Arial" w:cs="Arial"/>
            <w:noProof/>
            <w:webHidden/>
          </w:rPr>
          <w:fldChar w:fldCharType="end"/>
        </w:r>
      </w:hyperlink>
    </w:p>
    <w:p w14:paraId="154CBFE4" w14:textId="22F14164"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3" w:history="1">
        <w:r w:rsidR="004520B0" w:rsidRPr="00784E92">
          <w:rPr>
            <w:rStyle w:val="Hyperlink"/>
            <w:rFonts w:ascii="Arial" w:hAnsi="Arial" w:cs="Arial"/>
            <w:noProof/>
          </w:rPr>
          <w:t>2.2.2</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Safety assessment summary</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_Toc65164403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6</w:t>
        </w:r>
        <w:r w:rsidR="004520B0" w:rsidRPr="00784E92">
          <w:rPr>
            <w:rFonts w:ascii="Arial" w:hAnsi="Arial" w:cs="Arial"/>
            <w:noProof/>
            <w:webHidden/>
          </w:rPr>
          <w:fldChar w:fldCharType="end"/>
        </w:r>
      </w:hyperlink>
    </w:p>
    <w:p w14:paraId="3C6A48DF" w14:textId="2871AC93"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404" w:history="1">
        <w:r w:rsidR="004520B0" w:rsidRPr="00784E92">
          <w:rPr>
            <w:rStyle w:val="Hyperlink"/>
            <w:rFonts w:ascii="Arial" w:hAnsi="Arial" w:cs="Arial"/>
            <w:noProof/>
          </w:rPr>
          <w:t>2.3</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Risk management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_Toc65164404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7</w:t>
        </w:r>
        <w:r w:rsidR="004520B0" w:rsidRPr="00784E92">
          <w:rPr>
            <w:rFonts w:ascii="Arial" w:hAnsi="Arial" w:cs="Arial"/>
            <w:noProof/>
            <w:webHidden/>
          </w:rPr>
          <w:fldChar w:fldCharType="end"/>
        </w:r>
      </w:hyperlink>
    </w:p>
    <w:p w14:paraId="547A71F2" w14:textId="02C88AB8"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5" w:history="1">
        <w:r w:rsidR="004520B0" w:rsidRPr="00784E92">
          <w:rPr>
            <w:rStyle w:val="Hyperlink"/>
            <w:rFonts w:ascii="Arial" w:hAnsi="Arial" w:cs="Arial"/>
            <w:noProof/>
          </w:rPr>
          <w:t>2.3.1</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Labelling</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_Toc65164405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7</w:t>
        </w:r>
        <w:r w:rsidR="004520B0" w:rsidRPr="00784E92">
          <w:rPr>
            <w:rFonts w:ascii="Arial" w:hAnsi="Arial" w:cs="Arial"/>
            <w:noProof/>
            <w:webHidden/>
          </w:rPr>
          <w:fldChar w:fldCharType="end"/>
        </w:r>
      </w:hyperlink>
    </w:p>
    <w:p w14:paraId="78723012" w14:textId="3746A3F5"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6" w:history="1">
        <w:r w:rsidR="004520B0" w:rsidRPr="00784E92">
          <w:rPr>
            <w:rStyle w:val="Hyperlink"/>
            <w:rFonts w:ascii="Arial" w:hAnsi="Arial" w:cs="Arial"/>
            <w:noProof/>
          </w:rPr>
          <w:t>2.3.2</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Detection methodology</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_Toc65164406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8</w:t>
        </w:r>
        <w:r w:rsidR="004520B0" w:rsidRPr="00784E92">
          <w:rPr>
            <w:rFonts w:ascii="Arial" w:hAnsi="Arial" w:cs="Arial"/>
            <w:noProof/>
            <w:webHidden/>
          </w:rPr>
          <w:fldChar w:fldCharType="end"/>
        </w:r>
      </w:hyperlink>
    </w:p>
    <w:p w14:paraId="4FAB169A" w14:textId="7EAC374D"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407" w:history="1">
        <w:r w:rsidR="004520B0" w:rsidRPr="00784E92">
          <w:rPr>
            <w:rStyle w:val="Hyperlink"/>
            <w:rFonts w:ascii="Arial" w:hAnsi="Arial" w:cs="Arial"/>
            <w:noProof/>
          </w:rPr>
          <w:t>2.4</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Risk communication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_Toc65164407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8</w:t>
        </w:r>
        <w:r w:rsidR="004520B0" w:rsidRPr="00784E92">
          <w:rPr>
            <w:rFonts w:ascii="Arial" w:hAnsi="Arial" w:cs="Arial"/>
            <w:noProof/>
            <w:webHidden/>
          </w:rPr>
          <w:fldChar w:fldCharType="end"/>
        </w:r>
      </w:hyperlink>
    </w:p>
    <w:p w14:paraId="718EF9B8" w14:textId="70BA0667"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8" w:history="1">
        <w:r w:rsidR="004520B0" w:rsidRPr="00784E92">
          <w:rPr>
            <w:rStyle w:val="Hyperlink"/>
            <w:rFonts w:ascii="Arial" w:hAnsi="Arial" w:cs="Arial"/>
            <w:noProof/>
          </w:rPr>
          <w:t>2.4.1</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Consultation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_Toc65164408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8</w:t>
        </w:r>
        <w:r w:rsidR="004520B0" w:rsidRPr="00784E92">
          <w:rPr>
            <w:rFonts w:ascii="Arial" w:hAnsi="Arial" w:cs="Arial"/>
            <w:noProof/>
            <w:webHidden/>
          </w:rPr>
          <w:fldChar w:fldCharType="end"/>
        </w:r>
      </w:hyperlink>
    </w:p>
    <w:p w14:paraId="150EF7A4" w14:textId="1C24E477"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09" w:history="1">
        <w:r w:rsidR="004520B0" w:rsidRPr="00784E92">
          <w:rPr>
            <w:rStyle w:val="Hyperlink"/>
            <w:rFonts w:ascii="Arial" w:hAnsi="Arial" w:cs="Arial"/>
            <w:noProof/>
          </w:rPr>
          <w:t>2.4.2</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World Trade Organization (WTO)</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_Toc65164409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8</w:t>
        </w:r>
        <w:r w:rsidR="004520B0" w:rsidRPr="00784E92">
          <w:rPr>
            <w:rFonts w:ascii="Arial" w:hAnsi="Arial" w:cs="Arial"/>
            <w:noProof/>
            <w:webHidden/>
          </w:rPr>
          <w:fldChar w:fldCharType="end"/>
        </w:r>
      </w:hyperlink>
    </w:p>
    <w:p w14:paraId="7A3F025A" w14:textId="0572B0B3" w:rsidR="004520B0" w:rsidRPr="00784E92" w:rsidRDefault="00845D45">
      <w:pPr>
        <w:pStyle w:val="TOC2"/>
        <w:tabs>
          <w:tab w:val="left" w:pos="880"/>
          <w:tab w:val="right" w:leader="dot" w:pos="9060"/>
        </w:tabs>
        <w:rPr>
          <w:rFonts w:ascii="Arial" w:eastAsiaTheme="minorEastAsia" w:hAnsi="Arial" w:cs="Arial"/>
          <w:smallCaps w:val="0"/>
          <w:noProof/>
          <w:sz w:val="22"/>
          <w:szCs w:val="22"/>
          <w:lang w:eastAsia="en-GB" w:bidi="ar-SA"/>
        </w:rPr>
      </w:pPr>
      <w:hyperlink w:anchor="_Toc65164410" w:history="1">
        <w:r w:rsidR="004520B0" w:rsidRPr="00784E92">
          <w:rPr>
            <w:rStyle w:val="Hyperlink"/>
            <w:rFonts w:ascii="Arial" w:hAnsi="Arial" w:cs="Arial"/>
            <w:noProof/>
          </w:rPr>
          <w:t>2.5</w:t>
        </w:r>
        <w:r w:rsidR="004520B0" w:rsidRPr="00784E92">
          <w:rPr>
            <w:rFonts w:ascii="Arial" w:eastAsiaTheme="minorEastAsia" w:hAnsi="Arial" w:cs="Arial"/>
            <w:smallCaps w:val="0"/>
            <w:noProof/>
            <w:sz w:val="22"/>
            <w:szCs w:val="22"/>
            <w:lang w:eastAsia="en-GB" w:bidi="ar-SA"/>
          </w:rPr>
          <w:tab/>
        </w:r>
        <w:r w:rsidR="004520B0" w:rsidRPr="00784E92">
          <w:rPr>
            <w:rStyle w:val="Hyperlink"/>
            <w:rFonts w:ascii="Arial" w:hAnsi="Arial" w:cs="Arial"/>
            <w:noProof/>
          </w:rPr>
          <w:t>FSANZ Act assessment requirements</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_Toc65164410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9</w:t>
        </w:r>
        <w:r w:rsidR="004520B0" w:rsidRPr="00784E92">
          <w:rPr>
            <w:rFonts w:ascii="Arial" w:hAnsi="Arial" w:cs="Arial"/>
            <w:noProof/>
            <w:webHidden/>
          </w:rPr>
          <w:fldChar w:fldCharType="end"/>
        </w:r>
      </w:hyperlink>
    </w:p>
    <w:p w14:paraId="5E4A243D" w14:textId="10D03764"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11" w:history="1">
        <w:r w:rsidR="004520B0" w:rsidRPr="00784E92">
          <w:rPr>
            <w:rStyle w:val="Hyperlink"/>
            <w:rFonts w:ascii="Arial" w:hAnsi="Arial" w:cs="Arial"/>
            <w:noProof/>
          </w:rPr>
          <w:t>2.5.1</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Section 29</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_Toc65164411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9</w:t>
        </w:r>
        <w:r w:rsidR="004520B0" w:rsidRPr="00784E92">
          <w:rPr>
            <w:rFonts w:ascii="Arial" w:hAnsi="Arial" w:cs="Arial"/>
            <w:noProof/>
            <w:webHidden/>
          </w:rPr>
          <w:fldChar w:fldCharType="end"/>
        </w:r>
      </w:hyperlink>
    </w:p>
    <w:p w14:paraId="5D5D2794" w14:textId="222ABEF9"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12" w:history="1">
        <w:r w:rsidR="004520B0" w:rsidRPr="00784E92">
          <w:rPr>
            <w:rStyle w:val="Hyperlink"/>
            <w:rFonts w:ascii="Arial" w:hAnsi="Arial" w:cs="Arial"/>
            <w:noProof/>
          </w:rPr>
          <w:t>2.5.2</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Subsection 18(1)</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_Toc65164412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10</w:t>
        </w:r>
        <w:r w:rsidR="004520B0" w:rsidRPr="00784E92">
          <w:rPr>
            <w:rFonts w:ascii="Arial" w:hAnsi="Arial" w:cs="Arial"/>
            <w:noProof/>
            <w:webHidden/>
          </w:rPr>
          <w:fldChar w:fldCharType="end"/>
        </w:r>
      </w:hyperlink>
    </w:p>
    <w:p w14:paraId="59C4366D" w14:textId="4D84E8D2" w:rsidR="004520B0" w:rsidRPr="00784E92" w:rsidRDefault="00845D4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65164413" w:history="1">
        <w:r w:rsidR="004520B0" w:rsidRPr="00784E92">
          <w:rPr>
            <w:rStyle w:val="Hyperlink"/>
            <w:rFonts w:ascii="Arial" w:hAnsi="Arial" w:cs="Arial"/>
            <w:noProof/>
          </w:rPr>
          <w:t>2.5.3</w:t>
        </w:r>
        <w:r w:rsidR="004520B0" w:rsidRPr="00784E92">
          <w:rPr>
            <w:rFonts w:ascii="Arial" w:eastAsiaTheme="minorEastAsia" w:hAnsi="Arial" w:cs="Arial"/>
            <w:i w:val="0"/>
            <w:iCs w:val="0"/>
            <w:noProof/>
            <w:sz w:val="22"/>
            <w:szCs w:val="22"/>
            <w:lang w:eastAsia="en-GB" w:bidi="ar-SA"/>
          </w:rPr>
          <w:tab/>
        </w:r>
        <w:r w:rsidR="004520B0" w:rsidRPr="00784E92">
          <w:rPr>
            <w:rStyle w:val="Hyperlink"/>
            <w:rFonts w:ascii="Arial" w:hAnsi="Arial" w:cs="Arial"/>
            <w:noProof/>
          </w:rPr>
          <w:t>Subsection 18(2) considerations</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_Toc65164413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11</w:t>
        </w:r>
        <w:r w:rsidR="004520B0" w:rsidRPr="00784E92">
          <w:rPr>
            <w:rFonts w:ascii="Arial" w:hAnsi="Arial" w:cs="Arial"/>
            <w:noProof/>
            <w:webHidden/>
          </w:rPr>
          <w:fldChar w:fldCharType="end"/>
        </w:r>
      </w:hyperlink>
    </w:p>
    <w:p w14:paraId="5768CF62" w14:textId="03F96AB8" w:rsidR="004520B0" w:rsidRPr="00784E92" w:rsidRDefault="00845D4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5164414" w:history="1">
        <w:r w:rsidR="004520B0" w:rsidRPr="00784E92">
          <w:rPr>
            <w:rStyle w:val="Hyperlink"/>
            <w:rFonts w:ascii="Arial" w:hAnsi="Arial" w:cs="Arial"/>
            <w:noProof/>
          </w:rPr>
          <w:t>3</w:t>
        </w:r>
        <w:r w:rsidR="004520B0" w:rsidRPr="00784E92">
          <w:rPr>
            <w:rFonts w:ascii="Arial" w:eastAsiaTheme="minorEastAsia" w:hAnsi="Arial" w:cs="Arial"/>
            <w:b w:val="0"/>
            <w:bCs w:val="0"/>
            <w:caps w:val="0"/>
            <w:noProof/>
            <w:sz w:val="22"/>
            <w:szCs w:val="22"/>
            <w:lang w:eastAsia="en-GB" w:bidi="ar-SA"/>
          </w:rPr>
          <w:tab/>
        </w:r>
        <w:r w:rsidR="004520B0" w:rsidRPr="00784E92">
          <w:rPr>
            <w:rStyle w:val="Hyperlink"/>
            <w:rFonts w:ascii="Arial" w:hAnsi="Arial" w:cs="Arial"/>
            <w:noProof/>
          </w:rPr>
          <w:t>Draft variation</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_Toc65164414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11</w:t>
        </w:r>
        <w:r w:rsidR="004520B0" w:rsidRPr="00784E92">
          <w:rPr>
            <w:rFonts w:ascii="Arial" w:hAnsi="Arial" w:cs="Arial"/>
            <w:noProof/>
            <w:webHidden/>
          </w:rPr>
          <w:fldChar w:fldCharType="end"/>
        </w:r>
      </w:hyperlink>
    </w:p>
    <w:p w14:paraId="6AE8CFFF" w14:textId="59278A5A" w:rsidR="004520B0" w:rsidRPr="00784E92" w:rsidRDefault="00845D4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65164415" w:history="1">
        <w:r w:rsidR="004520B0" w:rsidRPr="00784E92">
          <w:rPr>
            <w:rStyle w:val="Hyperlink"/>
            <w:rFonts w:ascii="Arial" w:hAnsi="Arial" w:cs="Arial"/>
            <w:noProof/>
          </w:rPr>
          <w:t>4</w:t>
        </w:r>
        <w:r w:rsidR="004520B0" w:rsidRPr="00784E92">
          <w:rPr>
            <w:rFonts w:ascii="Arial" w:eastAsiaTheme="minorEastAsia" w:hAnsi="Arial" w:cs="Arial"/>
            <w:b w:val="0"/>
            <w:bCs w:val="0"/>
            <w:caps w:val="0"/>
            <w:noProof/>
            <w:sz w:val="22"/>
            <w:szCs w:val="22"/>
            <w:lang w:eastAsia="en-GB" w:bidi="ar-SA"/>
          </w:rPr>
          <w:tab/>
        </w:r>
        <w:r w:rsidR="004520B0" w:rsidRPr="00784E92">
          <w:rPr>
            <w:rStyle w:val="Hyperlink"/>
            <w:rFonts w:ascii="Arial" w:hAnsi="Arial" w:cs="Arial"/>
            <w:noProof/>
          </w:rPr>
          <w:t>References</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_Toc65164415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11</w:t>
        </w:r>
        <w:r w:rsidR="004520B0" w:rsidRPr="00784E92">
          <w:rPr>
            <w:rFonts w:ascii="Arial" w:hAnsi="Arial" w:cs="Arial"/>
            <w:noProof/>
            <w:webHidden/>
          </w:rPr>
          <w:fldChar w:fldCharType="end"/>
        </w:r>
      </w:hyperlink>
    </w:p>
    <w:p w14:paraId="00804AF9" w14:textId="5CB8AA71" w:rsidR="004520B0" w:rsidRPr="00784E92" w:rsidRDefault="00845D45">
      <w:pPr>
        <w:pStyle w:val="TOC2"/>
        <w:tabs>
          <w:tab w:val="right" w:leader="dot" w:pos="9060"/>
        </w:tabs>
        <w:rPr>
          <w:rFonts w:ascii="Arial" w:eastAsiaTheme="minorEastAsia" w:hAnsi="Arial" w:cs="Arial"/>
          <w:smallCaps w:val="0"/>
          <w:noProof/>
          <w:sz w:val="22"/>
          <w:szCs w:val="22"/>
          <w:lang w:eastAsia="en-GB" w:bidi="ar-SA"/>
        </w:rPr>
      </w:pPr>
      <w:hyperlink w:anchor="_Toc65164416" w:history="1">
        <w:r w:rsidR="004520B0" w:rsidRPr="00784E92">
          <w:rPr>
            <w:rStyle w:val="Hyperlink"/>
            <w:rFonts w:ascii="Arial" w:hAnsi="Arial" w:cs="Arial"/>
            <w:noProof/>
          </w:rPr>
          <w:t xml:space="preserve">Attachment A – Draft variation to the </w:t>
        </w:r>
        <w:r w:rsidR="004520B0" w:rsidRPr="00784E92">
          <w:rPr>
            <w:rStyle w:val="Hyperlink"/>
            <w:rFonts w:ascii="Arial" w:hAnsi="Arial" w:cs="Arial"/>
            <w:i/>
            <w:noProof/>
          </w:rPr>
          <w:t>Australia New Zealand Food Standards Code</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_Toc65164416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13</w:t>
        </w:r>
        <w:r w:rsidR="004520B0" w:rsidRPr="00784E92">
          <w:rPr>
            <w:rFonts w:ascii="Arial" w:hAnsi="Arial" w:cs="Arial"/>
            <w:noProof/>
            <w:webHidden/>
          </w:rPr>
          <w:fldChar w:fldCharType="end"/>
        </w:r>
      </w:hyperlink>
    </w:p>
    <w:p w14:paraId="54C8E422" w14:textId="3FE9A3BD" w:rsidR="004520B0" w:rsidRPr="00784E92" w:rsidRDefault="00845D45">
      <w:pPr>
        <w:pStyle w:val="TOC2"/>
        <w:tabs>
          <w:tab w:val="right" w:leader="dot" w:pos="9060"/>
        </w:tabs>
        <w:rPr>
          <w:rFonts w:ascii="Arial" w:eastAsiaTheme="minorEastAsia" w:hAnsi="Arial" w:cs="Arial"/>
          <w:smallCaps w:val="0"/>
          <w:noProof/>
          <w:sz w:val="22"/>
          <w:szCs w:val="22"/>
          <w:lang w:eastAsia="en-GB" w:bidi="ar-SA"/>
        </w:rPr>
      </w:pPr>
      <w:hyperlink w:anchor="_Toc65164417" w:history="1">
        <w:r w:rsidR="004520B0" w:rsidRPr="00784E92">
          <w:rPr>
            <w:rStyle w:val="Hyperlink"/>
            <w:rFonts w:ascii="Arial" w:hAnsi="Arial" w:cs="Arial"/>
            <w:noProof/>
          </w:rPr>
          <w:t>Attachment B – Draft Explanatory Statement</w:t>
        </w:r>
        <w:r w:rsidR="004520B0" w:rsidRPr="00784E92">
          <w:rPr>
            <w:rFonts w:ascii="Arial" w:hAnsi="Arial" w:cs="Arial"/>
            <w:noProof/>
            <w:webHidden/>
          </w:rPr>
          <w:tab/>
        </w:r>
        <w:r w:rsidR="004520B0" w:rsidRPr="00784E92">
          <w:rPr>
            <w:rFonts w:ascii="Arial" w:hAnsi="Arial" w:cs="Arial"/>
            <w:noProof/>
            <w:webHidden/>
          </w:rPr>
          <w:fldChar w:fldCharType="begin"/>
        </w:r>
        <w:r w:rsidR="004520B0" w:rsidRPr="00784E92">
          <w:rPr>
            <w:rFonts w:ascii="Arial" w:hAnsi="Arial" w:cs="Arial"/>
            <w:noProof/>
            <w:webHidden/>
          </w:rPr>
          <w:instrText xml:space="preserve"> PAGEREF _Toc65164417 \h </w:instrText>
        </w:r>
        <w:r w:rsidR="004520B0" w:rsidRPr="00784E92">
          <w:rPr>
            <w:rFonts w:ascii="Arial" w:hAnsi="Arial" w:cs="Arial"/>
            <w:noProof/>
            <w:webHidden/>
          </w:rPr>
        </w:r>
        <w:r w:rsidR="004520B0" w:rsidRPr="00784E92">
          <w:rPr>
            <w:rFonts w:ascii="Arial" w:hAnsi="Arial" w:cs="Arial"/>
            <w:noProof/>
            <w:webHidden/>
          </w:rPr>
          <w:fldChar w:fldCharType="separate"/>
        </w:r>
        <w:r w:rsidR="00212361" w:rsidRPr="00784E92">
          <w:rPr>
            <w:rFonts w:ascii="Arial" w:hAnsi="Arial" w:cs="Arial"/>
            <w:noProof/>
            <w:webHidden/>
          </w:rPr>
          <w:t>15</w:t>
        </w:r>
        <w:r w:rsidR="004520B0" w:rsidRPr="00784E92">
          <w:rPr>
            <w:rFonts w:ascii="Arial" w:hAnsi="Arial" w:cs="Arial"/>
            <w:noProof/>
            <w:webHidden/>
          </w:rPr>
          <w:fldChar w:fldCharType="end"/>
        </w:r>
      </w:hyperlink>
    </w:p>
    <w:p w14:paraId="44C70FF4" w14:textId="26B5027D" w:rsidR="0012388D" w:rsidRDefault="00B55714" w:rsidP="00C91C02">
      <w:r w:rsidRPr="00784E92">
        <w:rPr>
          <w:rFonts w:cs="Arial"/>
          <w:sz w:val="20"/>
          <w:szCs w:val="20"/>
        </w:rPr>
        <w:fldChar w:fldCharType="end"/>
      </w:r>
    </w:p>
    <w:p w14:paraId="23BBE9B3" w14:textId="77777777" w:rsidR="007F7BF7" w:rsidRDefault="007F7BF7" w:rsidP="00CA5734"/>
    <w:p w14:paraId="7B012B46"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00224E3B" w:rsidRPr="004D6AFE">
        <w:rPr>
          <w:b/>
          <w:bCs/>
        </w:rPr>
        <w:t>s</w:t>
      </w:r>
      <w:r w:rsidRPr="000B427A">
        <w:rPr>
          <w:b/>
          <w:bCs/>
        </w:rPr>
        <w:t xml:space="preserve"> </w:t>
      </w:r>
    </w:p>
    <w:p w14:paraId="76E625EC" w14:textId="77777777" w:rsidR="00A671E6" w:rsidRPr="0089264A" w:rsidRDefault="00A671E6" w:rsidP="00A671E6">
      <w:pPr>
        <w:rPr>
          <w:szCs w:val="22"/>
        </w:rPr>
      </w:pPr>
    </w:p>
    <w:p w14:paraId="7649B48F" w14:textId="0B97E944" w:rsidR="007A53BF" w:rsidRPr="0089264A" w:rsidRDefault="007A53BF" w:rsidP="007A53BF">
      <w:pPr>
        <w:rPr>
          <w:color w:val="FF0000"/>
          <w:szCs w:val="22"/>
        </w:rPr>
      </w:pPr>
      <w:r w:rsidRPr="004D6AFE">
        <w:rPr>
          <w:szCs w:val="22"/>
        </w:rPr>
        <w:t xml:space="preserve">The following documents which informed the assessment of this Application are available on </w:t>
      </w:r>
      <w:r w:rsidRPr="0089264A">
        <w:rPr>
          <w:szCs w:val="22"/>
        </w:rPr>
        <w:t xml:space="preserve">the </w:t>
      </w:r>
      <w:hyperlink r:id="rId20" w:history="1">
        <w:r w:rsidRPr="004D6AFE">
          <w:rPr>
            <w:rStyle w:val="Hyperlink"/>
            <w:szCs w:val="22"/>
          </w:rPr>
          <w:t>FSANZ website</w:t>
        </w:r>
      </w:hyperlink>
      <w:r w:rsidR="004D6AFE">
        <w:rPr>
          <w:rStyle w:val="FootnoteReference"/>
          <w:szCs w:val="22"/>
        </w:rPr>
        <w:footnoteReference w:id="2"/>
      </w:r>
      <w:r w:rsidR="00FF3E26">
        <w:rPr>
          <w:szCs w:val="22"/>
        </w:rPr>
        <w:t>:</w:t>
      </w:r>
    </w:p>
    <w:p w14:paraId="04A0CC76" w14:textId="77777777" w:rsidR="007A53BF" w:rsidRPr="0089264A" w:rsidRDefault="007A53BF" w:rsidP="007A53BF">
      <w:pPr>
        <w:rPr>
          <w:szCs w:val="22"/>
        </w:rPr>
      </w:pPr>
    </w:p>
    <w:p w14:paraId="6774B82C" w14:textId="77777777" w:rsidR="006C7583" w:rsidRDefault="006C7583" w:rsidP="006C7583">
      <w:pPr>
        <w:ind w:left="1134" w:hanging="1134"/>
      </w:pPr>
      <w:r w:rsidRPr="00D43426">
        <w:t>SD1</w:t>
      </w:r>
      <w:r w:rsidRPr="00D43426">
        <w:tab/>
      </w:r>
      <w:r>
        <w:tab/>
        <w:t>Safety</w:t>
      </w:r>
      <w:r w:rsidRPr="00D43426">
        <w:t xml:space="preserve"> </w:t>
      </w:r>
      <w:r>
        <w:t>A</w:t>
      </w:r>
      <w:r w:rsidRPr="00D43426">
        <w:t xml:space="preserve">ssessment </w:t>
      </w:r>
      <w:r>
        <w:t>R</w:t>
      </w:r>
      <w:r w:rsidRPr="00D43426">
        <w:t>eport</w:t>
      </w:r>
    </w:p>
    <w:p w14:paraId="03CA4E19" w14:textId="77777777" w:rsidR="006C7583" w:rsidRPr="00D43426" w:rsidRDefault="006C7583" w:rsidP="006C7583">
      <w:pPr>
        <w:spacing w:after="240"/>
        <w:ind w:left="1134" w:hanging="1134"/>
      </w:pPr>
      <w:r>
        <w:t>SD2</w:t>
      </w:r>
      <w:r>
        <w:tab/>
        <w:t xml:space="preserve">Safety assessment supplement </w:t>
      </w:r>
    </w:p>
    <w:p w14:paraId="2341E0D2" w14:textId="77777777" w:rsidR="006C7583" w:rsidRPr="003A7725" w:rsidRDefault="006C7583" w:rsidP="007A53BF">
      <w:pPr>
        <w:ind w:left="1134" w:hanging="1134"/>
        <w:rPr>
          <w:color w:val="FF0000"/>
        </w:rPr>
      </w:pPr>
    </w:p>
    <w:p w14:paraId="0474C8AE" w14:textId="77777777" w:rsidR="003C4969" w:rsidRPr="00CA5734" w:rsidRDefault="00D15A08" w:rsidP="009A2699">
      <w:pPr>
        <w:spacing w:line="280" w:lineRule="exact"/>
        <w:ind w:left="851" w:hanging="851"/>
        <w:outlineLvl w:val="3"/>
        <w:rPr>
          <w:vanish/>
          <w:color w:val="FF0000"/>
        </w:rPr>
      </w:pPr>
      <w:r w:rsidRPr="00CA5734">
        <w:br w:type="page"/>
      </w:r>
    </w:p>
    <w:p w14:paraId="0F4368D8" w14:textId="77777777" w:rsidR="007A53BF" w:rsidRPr="007A53BF" w:rsidRDefault="007A53BF" w:rsidP="00CE59AA">
      <w:pPr>
        <w:pStyle w:val="Heading1"/>
      </w:pPr>
      <w:bookmarkStart w:id="1" w:name="_Toc286391001"/>
      <w:bookmarkStart w:id="2" w:name="_Toc300933414"/>
      <w:bookmarkStart w:id="3" w:name="_Toc370223463"/>
      <w:bookmarkStart w:id="4" w:name="_Toc65164390"/>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0D172975" w14:textId="5B070877" w:rsidR="005C3085" w:rsidRDefault="005C3085" w:rsidP="005C3085">
      <w:pPr>
        <w:spacing w:after="240"/>
      </w:pPr>
      <w:r w:rsidRPr="00EA1619">
        <w:rPr>
          <w:szCs w:val="22"/>
        </w:rPr>
        <w:t>Food Standards Australia New Zealand (FSANZ) received an application from</w:t>
      </w:r>
      <w:r w:rsidRPr="00DC6CB2">
        <w:rPr>
          <w:szCs w:val="22"/>
        </w:rPr>
        <w:t xml:space="preserve"> Bayer CropScience Proprietary Limited to request</w:t>
      </w:r>
      <w:r>
        <w:rPr>
          <w:lang w:bidi="ar-SA"/>
        </w:rPr>
        <w:t xml:space="preserve"> a variation to Schedule 26 in the </w:t>
      </w:r>
      <w:r w:rsidRPr="001F7C28">
        <w:rPr>
          <w:lang w:bidi="ar-SA"/>
        </w:rPr>
        <w:t>Australia New Zealand Food Standards Code</w:t>
      </w:r>
      <w:r>
        <w:rPr>
          <w:lang w:bidi="ar-SA"/>
        </w:rPr>
        <w:t xml:space="preserve"> (the Code) to permit </w:t>
      </w:r>
      <w:r w:rsidRPr="00321936">
        <w:rPr>
          <w:lang w:bidi="ar-SA"/>
        </w:rPr>
        <w:t xml:space="preserve">the sale and use of food derived from </w:t>
      </w:r>
      <w:r w:rsidR="00B10548">
        <w:rPr>
          <w:lang w:bidi="ar-SA"/>
        </w:rPr>
        <w:t xml:space="preserve">canola line MON94100, </w:t>
      </w:r>
      <w:r>
        <w:rPr>
          <w:lang w:bidi="ar-SA"/>
        </w:rPr>
        <w:t xml:space="preserve">a new </w:t>
      </w:r>
      <w:r>
        <w:rPr>
          <w:color w:val="000000" w:themeColor="text1"/>
          <w:szCs w:val="22"/>
        </w:rPr>
        <w:t>food produced using gene technology (GM food)</w:t>
      </w:r>
      <w:r>
        <w:rPr>
          <w:lang w:bidi="ar-SA"/>
        </w:rPr>
        <w:t>. Canola</w:t>
      </w:r>
      <w:r w:rsidRPr="00EA1619">
        <w:rPr>
          <w:lang w:bidi="ar-SA"/>
        </w:rPr>
        <w:t xml:space="preserve"> line </w:t>
      </w:r>
      <w:r>
        <w:rPr>
          <w:lang w:bidi="ar-SA"/>
        </w:rPr>
        <w:t>MON94100 has been genetically modified for tolerance to the herbicide dicamba</w:t>
      </w:r>
      <w:r>
        <w:t xml:space="preserve">. </w:t>
      </w:r>
    </w:p>
    <w:p w14:paraId="4C9E2360" w14:textId="6E6139C9" w:rsidR="005C3085" w:rsidRPr="001A4DE4" w:rsidRDefault="005C3085" w:rsidP="005C3085">
      <w:pPr>
        <w:spacing w:after="240"/>
      </w:pPr>
      <w:r w:rsidRPr="00477589">
        <w:t xml:space="preserve">This application </w:t>
      </w:r>
      <w:r w:rsidR="003C2214">
        <w:t>was</w:t>
      </w:r>
      <w:r w:rsidRPr="00477589">
        <w:t xml:space="preserve"> accepted for assessment under a project between FSANZ and the Food Directorate of Health Canada</w:t>
      </w:r>
      <w:r w:rsidR="002A6E56">
        <w:t xml:space="preserve">. The </w:t>
      </w:r>
      <w:r w:rsidR="000E2B05">
        <w:t xml:space="preserve">project </w:t>
      </w:r>
      <w:r w:rsidR="002A6E56">
        <w:t xml:space="preserve">is </w:t>
      </w:r>
      <w:r w:rsidR="000E2B05">
        <w:t xml:space="preserve">implementing </w:t>
      </w:r>
      <w:r w:rsidRPr="00477589">
        <w:t xml:space="preserve">the </w:t>
      </w:r>
      <w:r w:rsidRPr="0022235D">
        <w:t>joint preparation and sharing of safety assessments for GM foods</w:t>
      </w:r>
      <w:r w:rsidR="00B10548">
        <w:t>.</w:t>
      </w:r>
      <w:r w:rsidRPr="0022235D">
        <w:t xml:space="preserve"> </w:t>
      </w:r>
    </w:p>
    <w:p w14:paraId="69C00AB7" w14:textId="77777777" w:rsidR="005C3085" w:rsidRPr="005B5F83" w:rsidRDefault="005C3085" w:rsidP="005C3085">
      <w:pPr>
        <w:spacing w:after="240"/>
        <w:rPr>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w:t>
      </w:r>
      <w:r>
        <w:rPr>
          <w:color w:val="000000" w:themeColor="text1"/>
          <w:lang w:bidi="ar-SA"/>
        </w:rPr>
        <w:t xml:space="preserve"> </w:t>
      </w:r>
      <w:r w:rsidRPr="002933AF">
        <w:rPr>
          <w:color w:val="000000" w:themeColor="text1"/>
          <w:lang w:bidi="ar-SA"/>
        </w:rPr>
        <w:t xml:space="preserve">is a central part of considering an </w:t>
      </w:r>
      <w:r>
        <w:rPr>
          <w:color w:val="000000" w:themeColor="text1"/>
          <w:lang w:bidi="ar-SA"/>
        </w:rPr>
        <w:t>application</w:t>
      </w:r>
      <w:r w:rsidRPr="002933AF">
        <w:rPr>
          <w:color w:val="000000" w:themeColor="text1"/>
          <w:lang w:bidi="ar-SA"/>
        </w:rPr>
        <w:t>.</w:t>
      </w:r>
    </w:p>
    <w:p w14:paraId="0767FD74" w14:textId="77777777" w:rsidR="005C3085" w:rsidRPr="002933AF" w:rsidRDefault="005C3085" w:rsidP="005C3085">
      <w:pPr>
        <w:spacing w:after="240"/>
        <w:rPr>
          <w:color w:val="000000" w:themeColor="text1"/>
          <w:lang w:bidi="ar-SA"/>
        </w:rPr>
      </w:pPr>
      <w:r w:rsidRPr="005B5F83">
        <w:rPr>
          <w:lang w:bidi="ar-SA"/>
        </w:rPr>
        <w:t xml:space="preserve">The safety assessment of canola line MON94100 </w:t>
      </w:r>
      <w:r w:rsidRPr="005B5F83" w:rsidDel="00A92468">
        <w:rPr>
          <w:lang w:bidi="ar-SA"/>
        </w:rPr>
        <w:t>is in S</w:t>
      </w:r>
      <w:r>
        <w:rPr>
          <w:lang w:bidi="ar-SA"/>
        </w:rPr>
        <w:t xml:space="preserve">upporting </w:t>
      </w:r>
      <w:r w:rsidRPr="005B5F83" w:rsidDel="00A92468">
        <w:rPr>
          <w:lang w:bidi="ar-SA"/>
        </w:rPr>
        <w:t>D</w:t>
      </w:r>
      <w:r>
        <w:rPr>
          <w:lang w:bidi="ar-SA"/>
        </w:rPr>
        <w:t xml:space="preserve">ocuments </w:t>
      </w:r>
      <w:r w:rsidRPr="005B5F83" w:rsidDel="00A92468">
        <w:rPr>
          <w:lang w:bidi="ar-SA"/>
        </w:rPr>
        <w:t>1</w:t>
      </w:r>
      <w:r>
        <w:rPr>
          <w:lang w:bidi="ar-SA"/>
        </w:rPr>
        <w:t xml:space="preserve"> and 2</w:t>
      </w:r>
      <w:r w:rsidRPr="005B5F83">
        <w:rPr>
          <w:lang w:bidi="ar-SA"/>
        </w:rPr>
        <w:t>. No potential public health and safety concerns</w:t>
      </w:r>
      <w:r w:rsidRPr="005B5F83" w:rsidDel="00A92468">
        <w:rPr>
          <w:lang w:bidi="ar-SA"/>
        </w:rPr>
        <w:t xml:space="preserve"> have been identified</w:t>
      </w:r>
      <w:r w:rsidRPr="005B5F83">
        <w:rPr>
          <w:lang w:bidi="ar-SA"/>
        </w:rPr>
        <w:t xml:space="preserve">. Based </w:t>
      </w:r>
      <w:r w:rsidRPr="002933AF">
        <w:rPr>
          <w:color w:val="000000" w:themeColor="text1"/>
          <w:lang w:bidi="ar-SA"/>
        </w:rPr>
        <w:t>on the data provided and other information, food de</w:t>
      </w:r>
      <w:r>
        <w:rPr>
          <w:color w:val="000000" w:themeColor="text1"/>
          <w:lang w:bidi="ar-SA"/>
        </w:rPr>
        <w:t>rived from canola line MON94100</w:t>
      </w:r>
      <w:r w:rsidRPr="002933AF">
        <w:rPr>
          <w:color w:val="000000" w:themeColor="text1"/>
          <w:lang w:bidi="ar-SA"/>
        </w:rPr>
        <w:t xml:space="preserve"> is considered to be as safe for human consumption as food derived from </w:t>
      </w:r>
      <w:r>
        <w:rPr>
          <w:color w:val="000000" w:themeColor="text1"/>
          <w:lang w:bidi="ar-SA"/>
        </w:rPr>
        <w:t>conventional non-GM canola</w:t>
      </w:r>
      <w:r w:rsidRPr="002933AF">
        <w:rPr>
          <w:color w:val="000000" w:themeColor="text1"/>
          <w:lang w:bidi="ar-SA"/>
        </w:rPr>
        <w:t xml:space="preserve"> cultivars.</w:t>
      </w:r>
      <w:r>
        <w:rPr>
          <w:color w:val="000000" w:themeColor="text1"/>
          <w:lang w:bidi="ar-SA"/>
        </w:rPr>
        <w:t xml:space="preserve"> Existing labelling requirements for GM food will apply to food derived from canola line MON94100 in accordance with the Code.</w:t>
      </w:r>
    </w:p>
    <w:p w14:paraId="78CB4368" w14:textId="678919E8" w:rsidR="003C2214" w:rsidRPr="007B4030" w:rsidRDefault="003C2214" w:rsidP="003C2214">
      <w:pPr>
        <w:spacing w:after="240"/>
        <w:rPr>
          <w:color w:val="FF0000"/>
          <w:lang w:bidi="ar-SA"/>
        </w:rPr>
      </w:pPr>
      <w:r w:rsidRPr="009A37CE">
        <w:rPr>
          <w:lang w:bidi="ar-SA"/>
        </w:rPr>
        <w:t xml:space="preserve">Following assessment and the preparation of a draft variation, FSANZ </w:t>
      </w:r>
      <w:r w:rsidRPr="009A37CE">
        <w:rPr>
          <w:rFonts w:eastAsia="Calibri"/>
        </w:rPr>
        <w:t xml:space="preserve">called for submissions regarding the draft variation on </w:t>
      </w:r>
      <w:r>
        <w:rPr>
          <w:szCs w:val="20"/>
        </w:rPr>
        <w:t>18 January 2021</w:t>
      </w:r>
      <w:r w:rsidRPr="009A37CE">
        <w:rPr>
          <w:rFonts w:eastAsia="Calibri"/>
        </w:rPr>
        <w:t xml:space="preserve">. </w:t>
      </w:r>
      <w:r w:rsidR="00C52E74" w:rsidRPr="00C52E74">
        <w:rPr>
          <w:rFonts w:eastAsia="Calibri"/>
        </w:rPr>
        <w:t>Three</w:t>
      </w:r>
      <w:r w:rsidRPr="00C52E74">
        <w:rPr>
          <w:rFonts w:eastAsia="Calibri"/>
        </w:rPr>
        <w:t xml:space="preserve"> submissions were received, </w:t>
      </w:r>
      <w:r w:rsidR="00C52E74" w:rsidRPr="00C52E74">
        <w:rPr>
          <w:rFonts w:eastAsia="Calibri"/>
        </w:rPr>
        <w:t>all of which supported the draft variation</w:t>
      </w:r>
      <w:r w:rsidRPr="00C52E74">
        <w:rPr>
          <w:rFonts w:eastAsia="Calibri"/>
        </w:rPr>
        <w:t>.</w:t>
      </w:r>
    </w:p>
    <w:p w14:paraId="27784965" w14:textId="24EC5185" w:rsidR="005C3085" w:rsidRPr="002621D6" w:rsidRDefault="00C05BD9" w:rsidP="005C3085">
      <w:pPr>
        <w:spacing w:after="240"/>
        <w:rPr>
          <w:lang w:bidi="ar-SA"/>
        </w:rPr>
      </w:pPr>
      <w:r w:rsidRPr="00C05BD9">
        <w:rPr>
          <w:lang w:bidi="ar-SA"/>
        </w:rPr>
        <w:t>For the reasons summarised in this report, FSANZ has decided to approve the draft variation proposed foll</w:t>
      </w:r>
      <w:r w:rsidR="00292AC8">
        <w:rPr>
          <w:lang w:bidi="ar-SA"/>
        </w:rPr>
        <w:t>owing assessment without change</w:t>
      </w:r>
      <w:r w:rsidR="005C3085" w:rsidRPr="000C508D">
        <w:rPr>
          <w:lang w:bidi="ar-SA"/>
        </w:rPr>
        <w:t xml:space="preserve">. The </w:t>
      </w:r>
      <w:r w:rsidR="005C3085" w:rsidRPr="00F635D5">
        <w:rPr>
          <w:lang w:bidi="ar-SA"/>
        </w:rPr>
        <w:t xml:space="preserve">draft variation amends Schedule 26 </w:t>
      </w:r>
      <w:r w:rsidR="005C3085" w:rsidRPr="00F635D5">
        <w:t xml:space="preserve">of the </w:t>
      </w:r>
      <w:r w:rsidR="005C3085" w:rsidRPr="00F635D5">
        <w:rPr>
          <w:lang w:bidi="ar-SA"/>
        </w:rPr>
        <w:t xml:space="preserve">Code by inserting </w:t>
      </w:r>
      <w:r w:rsidR="005C3085">
        <w:rPr>
          <w:lang w:bidi="ar-SA"/>
        </w:rPr>
        <w:t xml:space="preserve">a </w:t>
      </w:r>
      <w:r w:rsidR="005C3085" w:rsidRPr="00F635D5">
        <w:rPr>
          <w:lang w:bidi="ar-SA"/>
        </w:rPr>
        <w:t>reference to</w:t>
      </w:r>
      <w:r w:rsidR="005C3085">
        <w:rPr>
          <w:lang w:bidi="ar-SA"/>
        </w:rPr>
        <w:t xml:space="preserve"> </w:t>
      </w:r>
      <w:r w:rsidR="003C2214">
        <w:rPr>
          <w:color w:val="000000" w:themeColor="text1"/>
          <w:lang w:bidi="ar-SA"/>
        </w:rPr>
        <w:t>‘</w:t>
      </w:r>
      <w:r w:rsidR="003C2214" w:rsidRPr="00C4435F">
        <w:t xml:space="preserve">herbicide-tolerant </w:t>
      </w:r>
      <w:r w:rsidR="003C2214">
        <w:t>canola</w:t>
      </w:r>
      <w:r w:rsidR="003C2214" w:rsidRPr="00C4435F">
        <w:t xml:space="preserve"> line </w:t>
      </w:r>
      <w:r w:rsidR="003C2214">
        <w:t xml:space="preserve">MON94100’ </w:t>
      </w:r>
      <w:r w:rsidR="003C2214" w:rsidRPr="00CF4064">
        <w:t>in the table to subsection S26—3(4)</w:t>
      </w:r>
      <w:r w:rsidR="003C2214">
        <w:rPr>
          <w:color w:val="000000" w:themeColor="text1"/>
          <w:lang w:bidi="ar-SA"/>
        </w:rPr>
        <w:t xml:space="preserve">. </w:t>
      </w:r>
      <w:r w:rsidR="005C3085" w:rsidRPr="00F635D5">
        <w:rPr>
          <w:lang w:val="en-AU"/>
        </w:rPr>
        <w:t xml:space="preserve">The effect of the </w:t>
      </w:r>
      <w:r w:rsidR="005C3085">
        <w:rPr>
          <w:lang w:val="en-AU"/>
        </w:rPr>
        <w:t xml:space="preserve">draft </w:t>
      </w:r>
      <w:r w:rsidR="005C3085" w:rsidRPr="00F635D5">
        <w:rPr>
          <w:lang w:val="en-AU"/>
        </w:rPr>
        <w:t xml:space="preserve">variation is to permit </w:t>
      </w:r>
      <w:r w:rsidR="005C3085" w:rsidRPr="00F635D5">
        <w:t xml:space="preserve">the use </w:t>
      </w:r>
      <w:r w:rsidR="005C3085">
        <w:t>and</w:t>
      </w:r>
      <w:r w:rsidR="005C3085" w:rsidRPr="00F635D5">
        <w:t xml:space="preserve"> sale of food derived from this </w:t>
      </w:r>
      <w:r w:rsidR="003C2214">
        <w:t>canola</w:t>
      </w:r>
      <w:r w:rsidR="005C3085" w:rsidRPr="00F635D5">
        <w:t xml:space="preserve"> line</w:t>
      </w:r>
      <w:r w:rsidR="005C3085" w:rsidRPr="00F635D5">
        <w:rPr>
          <w:lang w:val="en-AU"/>
        </w:rPr>
        <w:t xml:space="preserve"> in accordance with the Code.</w:t>
      </w:r>
      <w:r w:rsidR="005C3085">
        <w:br w:type="page"/>
      </w:r>
    </w:p>
    <w:p w14:paraId="4AC77539" w14:textId="77777777" w:rsidR="007A53BF" w:rsidRPr="007A53BF" w:rsidRDefault="007A53BF" w:rsidP="00CE59AA">
      <w:pPr>
        <w:pStyle w:val="Heading1"/>
      </w:pPr>
      <w:bookmarkStart w:id="10" w:name="_Toc300933417"/>
      <w:bookmarkStart w:id="11" w:name="_Toc370223464"/>
      <w:bookmarkStart w:id="12" w:name="_Toc65164391"/>
      <w:r w:rsidRPr="007A53BF">
        <w:lastRenderedPageBreak/>
        <w:t>1</w:t>
      </w:r>
      <w:r w:rsidRPr="007A53BF">
        <w:tab/>
        <w:t>Introduction</w:t>
      </w:r>
      <w:bookmarkEnd w:id="10"/>
      <w:bookmarkEnd w:id="11"/>
      <w:bookmarkEnd w:id="12"/>
    </w:p>
    <w:p w14:paraId="60E8DD9A" w14:textId="4CEE9099" w:rsidR="007A53BF" w:rsidRPr="00CE59AA" w:rsidRDefault="00AC0756" w:rsidP="00CE59AA">
      <w:pPr>
        <w:pStyle w:val="Heading2"/>
        <w:rPr>
          <w:color w:val="FF0000"/>
        </w:rPr>
      </w:pPr>
      <w:bookmarkStart w:id="13" w:name="_Toc300761890"/>
      <w:bookmarkStart w:id="14" w:name="_Toc65164392"/>
      <w:bookmarkStart w:id="15" w:name="_Toc300933419"/>
      <w:bookmarkStart w:id="16" w:name="_Toc370223465"/>
      <w:r>
        <w:t>1.1</w:t>
      </w:r>
      <w:r>
        <w:tab/>
        <w:t>The a</w:t>
      </w:r>
      <w:r w:rsidR="007A53BF" w:rsidRPr="007A53BF">
        <w:t>pplicant</w:t>
      </w:r>
      <w:bookmarkEnd w:id="13"/>
      <w:bookmarkEnd w:id="14"/>
      <w:r w:rsidR="007A53BF" w:rsidRPr="007A53BF">
        <w:t xml:space="preserve"> </w:t>
      </w:r>
      <w:bookmarkEnd w:id="15"/>
      <w:bookmarkEnd w:id="16"/>
    </w:p>
    <w:p w14:paraId="463A2D9D" w14:textId="77777777" w:rsidR="00587FEE" w:rsidRPr="00EA1619" w:rsidRDefault="00587FEE" w:rsidP="00587FEE">
      <w:pPr>
        <w:spacing w:after="240"/>
      </w:pPr>
      <w:bookmarkStart w:id="17" w:name="_Toc300761891"/>
      <w:bookmarkStart w:id="18" w:name="_Toc300933420"/>
      <w:bookmarkStart w:id="19" w:name="_Toc370223466"/>
      <w:r w:rsidRPr="00DC6CB2">
        <w:t xml:space="preserve">Bayer CropScience Proprietary Limited </w:t>
      </w:r>
      <w:r>
        <w:t>is a technology provider to a number of sectors including the agriculture sector.</w:t>
      </w:r>
    </w:p>
    <w:p w14:paraId="34754B63" w14:textId="298E69CE" w:rsidR="007A53BF" w:rsidRPr="007A53BF" w:rsidRDefault="007A53BF" w:rsidP="00CE59AA">
      <w:pPr>
        <w:pStyle w:val="Heading2"/>
      </w:pPr>
      <w:bookmarkStart w:id="20" w:name="_Toc65164393"/>
      <w:r w:rsidRPr="007A53BF">
        <w:t>1.2</w:t>
      </w:r>
      <w:r w:rsidRPr="007A53BF">
        <w:tab/>
        <w:t xml:space="preserve">The </w:t>
      </w:r>
      <w:r w:rsidR="00AC0756">
        <w:t>a</w:t>
      </w:r>
      <w:r w:rsidRPr="00587FEE">
        <w:t>pplication</w:t>
      </w:r>
      <w:bookmarkEnd w:id="17"/>
      <w:bookmarkEnd w:id="18"/>
      <w:bookmarkEnd w:id="19"/>
      <w:bookmarkEnd w:id="20"/>
    </w:p>
    <w:p w14:paraId="2D7C7615" w14:textId="77777777" w:rsidR="00587FEE" w:rsidRDefault="00587FEE" w:rsidP="00587FEE">
      <w:pPr>
        <w:spacing w:after="240"/>
        <w:rPr>
          <w:lang w:bidi="ar-SA"/>
        </w:rPr>
      </w:pPr>
      <w:bookmarkStart w:id="21" w:name="_Toc300761892"/>
      <w:bookmarkStart w:id="22" w:name="_Toc300933421"/>
      <w:bookmarkStart w:id="23" w:name="_Toc370223467"/>
      <w:r>
        <w:t>Appli</w:t>
      </w:r>
      <w:r w:rsidRPr="002F57C9">
        <w:t xml:space="preserve">cation A1216 was submitted on </w:t>
      </w:r>
      <w:r w:rsidRPr="002F57C9">
        <w:rPr>
          <w:lang w:bidi="ar-SA"/>
        </w:rPr>
        <w:t>13 October 2020</w:t>
      </w:r>
      <w:r w:rsidRPr="002F57C9">
        <w:t xml:space="preserve">. It </w:t>
      </w:r>
      <w:r w:rsidRPr="005E5CAC">
        <w:t>seeks approval for the sale</w:t>
      </w:r>
      <w:r>
        <w:t xml:space="preserve"> and use</w:t>
      </w:r>
      <w:r w:rsidRPr="005E5CAC">
        <w:t xml:space="preserve"> of food derived from </w:t>
      </w:r>
      <w:r>
        <w:t xml:space="preserve">canola line MON94100 that </w:t>
      </w:r>
      <w:r>
        <w:rPr>
          <w:lang w:bidi="ar-SA"/>
        </w:rPr>
        <w:t>has tolerance to the herbicide dicamba (</w:t>
      </w:r>
      <w:r w:rsidRPr="00480D72">
        <w:rPr>
          <w:color w:val="000000" w:themeColor="text1"/>
        </w:rPr>
        <w:t>3,6-dichloro-2-methoxybenzoic acid</w:t>
      </w:r>
      <w:r>
        <w:rPr>
          <w:color w:val="000000" w:themeColor="text1"/>
        </w:rPr>
        <w:t>)</w:t>
      </w:r>
      <w:r>
        <w:rPr>
          <w:lang w:bidi="ar-SA"/>
        </w:rPr>
        <w:t>.</w:t>
      </w:r>
    </w:p>
    <w:p w14:paraId="1ACACB44" w14:textId="77777777" w:rsidR="00587FEE" w:rsidRPr="00581EC3" w:rsidRDefault="00587FEE" w:rsidP="00587FEE">
      <w:pPr>
        <w:autoSpaceDE w:val="0"/>
        <w:autoSpaceDN w:val="0"/>
        <w:adjustRightInd w:val="0"/>
        <w:spacing w:after="240"/>
        <w:rPr>
          <w:rFonts w:eastAsia="Batang" w:cs="Arial"/>
          <w:color w:val="000000" w:themeColor="text1"/>
          <w:szCs w:val="22"/>
        </w:rPr>
      </w:pPr>
      <w:r w:rsidRPr="00343E61">
        <w:rPr>
          <w:rFonts w:cs="Arial"/>
          <w:color w:val="000000" w:themeColor="text1"/>
          <w:szCs w:val="22"/>
        </w:rPr>
        <w:t xml:space="preserve">Tolerance to </w:t>
      </w:r>
      <w:r>
        <w:rPr>
          <w:rFonts w:eastAsia="Batang" w:cs="Arial"/>
          <w:color w:val="000000" w:themeColor="text1"/>
          <w:szCs w:val="22"/>
        </w:rPr>
        <w:t>dicamba</w:t>
      </w:r>
      <w:r w:rsidRPr="00343E61">
        <w:rPr>
          <w:rFonts w:eastAsia="Batang" w:cs="Arial"/>
          <w:color w:val="000000" w:themeColor="text1"/>
          <w:szCs w:val="22"/>
        </w:rPr>
        <w:t xml:space="preserve"> is ac</w:t>
      </w:r>
      <w:r>
        <w:rPr>
          <w:rFonts w:eastAsia="Batang" w:cs="Arial"/>
          <w:color w:val="000000" w:themeColor="text1"/>
          <w:szCs w:val="22"/>
        </w:rPr>
        <w:t>hieved through</w:t>
      </w:r>
      <w:r w:rsidRPr="00343E61">
        <w:rPr>
          <w:rFonts w:eastAsia="Batang" w:cs="Arial"/>
          <w:color w:val="000000" w:themeColor="text1"/>
          <w:szCs w:val="22"/>
        </w:rPr>
        <w:t xml:space="preserve"> expression of the </w:t>
      </w:r>
      <w:r w:rsidRPr="006C2714">
        <w:rPr>
          <w:rFonts w:eastAsia="Batang" w:cs="Arial"/>
          <w:i/>
          <w:color w:val="000000" w:themeColor="text1"/>
          <w:szCs w:val="22"/>
          <w:u w:val="single"/>
        </w:rPr>
        <w:t>d</w:t>
      </w:r>
      <w:r>
        <w:rPr>
          <w:rFonts w:eastAsia="Batang" w:cs="Arial"/>
          <w:color w:val="000000" w:themeColor="text1"/>
          <w:szCs w:val="22"/>
        </w:rPr>
        <w:t xml:space="preserve">icamba </w:t>
      </w:r>
      <w:r w:rsidRPr="006C2714">
        <w:rPr>
          <w:rFonts w:eastAsia="Batang" w:cs="Arial"/>
          <w:i/>
          <w:color w:val="000000" w:themeColor="text1"/>
          <w:szCs w:val="22"/>
          <w:u w:val="single"/>
        </w:rPr>
        <w:t>m</w:t>
      </w:r>
      <w:r>
        <w:rPr>
          <w:rFonts w:eastAsia="Batang" w:cs="Arial"/>
          <w:color w:val="000000" w:themeColor="text1"/>
          <w:szCs w:val="22"/>
        </w:rPr>
        <w:t>ono-</w:t>
      </w:r>
      <w:r w:rsidRPr="006C2714">
        <w:rPr>
          <w:rFonts w:eastAsia="Batang" w:cs="Arial"/>
          <w:i/>
          <w:color w:val="000000" w:themeColor="text1"/>
          <w:szCs w:val="22"/>
          <w:u w:val="single"/>
        </w:rPr>
        <w:t>o</w:t>
      </w:r>
      <w:r>
        <w:rPr>
          <w:rFonts w:eastAsia="Batang" w:cs="Arial"/>
          <w:color w:val="000000" w:themeColor="text1"/>
          <w:szCs w:val="22"/>
        </w:rPr>
        <w:t>xygenase (</w:t>
      </w:r>
      <w:r>
        <w:rPr>
          <w:rFonts w:eastAsia="Batang" w:cs="Arial"/>
          <w:i/>
          <w:color w:val="000000" w:themeColor="text1"/>
          <w:szCs w:val="22"/>
        </w:rPr>
        <w:t>dmo</w:t>
      </w:r>
      <w:r>
        <w:rPr>
          <w:rFonts w:eastAsia="Batang" w:cs="Arial"/>
          <w:color w:val="000000" w:themeColor="text1"/>
          <w:szCs w:val="22"/>
        </w:rPr>
        <w:t>)</w:t>
      </w:r>
      <w:r w:rsidRPr="00343E61">
        <w:rPr>
          <w:rFonts w:eastAsia="Batang" w:cs="Arial"/>
          <w:color w:val="000000" w:themeColor="text1"/>
          <w:szCs w:val="22"/>
        </w:rPr>
        <w:t xml:space="preserve"> gene</w:t>
      </w:r>
      <w:r>
        <w:rPr>
          <w:rFonts w:eastAsia="Batang" w:cs="Arial"/>
          <w:color w:val="000000" w:themeColor="text1"/>
          <w:szCs w:val="22"/>
        </w:rPr>
        <w:t xml:space="preserve"> </w:t>
      </w:r>
      <w:r w:rsidRPr="00343E61">
        <w:rPr>
          <w:rFonts w:eastAsia="Batang" w:cs="Arial"/>
          <w:color w:val="000000" w:themeColor="text1"/>
          <w:szCs w:val="22"/>
        </w:rPr>
        <w:t xml:space="preserve">derived from the bacterium </w:t>
      </w:r>
      <w:r w:rsidRPr="00AE75FA">
        <w:rPr>
          <w:rFonts w:eastAsia="Batang" w:cs="Arial"/>
          <w:i/>
          <w:color w:val="000000" w:themeColor="text1"/>
          <w:szCs w:val="22"/>
        </w:rPr>
        <w:t>Stenotrophomonas maltophilia</w:t>
      </w:r>
      <w:r>
        <w:rPr>
          <w:rFonts w:eastAsia="Batang" w:cs="Arial"/>
          <w:color w:val="000000" w:themeColor="text1"/>
          <w:szCs w:val="22"/>
        </w:rPr>
        <w:t xml:space="preserve">. The encoded protein, </w:t>
      </w:r>
      <w:r w:rsidRPr="00F466AC">
        <w:rPr>
          <w:szCs w:val="22"/>
        </w:rPr>
        <w:t>dicamba mono-oxygenase</w:t>
      </w:r>
      <w:r>
        <w:rPr>
          <w:szCs w:val="22"/>
        </w:rPr>
        <w:t xml:space="preserve"> (DMO), </w:t>
      </w:r>
      <w:r>
        <w:t>has been assessed previously by FSANZ.</w:t>
      </w:r>
    </w:p>
    <w:p w14:paraId="109141FE" w14:textId="377E0DCF" w:rsidR="00F41ACB" w:rsidRDefault="00587FEE" w:rsidP="00587FEE">
      <w:pPr>
        <w:spacing w:after="240"/>
      </w:pPr>
      <w:r>
        <w:t xml:space="preserve">Food derived from canola line MON94100 may enter the Australian and New Zealand food supply as imported food products. </w:t>
      </w:r>
      <w:r w:rsidRPr="00C43629">
        <w:t xml:space="preserve">Oil from </w:t>
      </w:r>
      <w:r w:rsidR="00B10548">
        <w:t xml:space="preserve">canola line MON94100 </w:t>
      </w:r>
      <w:r w:rsidRPr="00C43629">
        <w:t xml:space="preserve">would be the primary food product. </w:t>
      </w:r>
      <w:r>
        <w:t>Other</w:t>
      </w:r>
      <w:r w:rsidRPr="00C43629">
        <w:t xml:space="preserve"> foods derived from MON94100 including canola meal or seeds </w:t>
      </w:r>
      <w:r>
        <w:t>may also</w:t>
      </w:r>
      <w:r w:rsidRPr="00C43629">
        <w:t xml:space="preserve"> potentially enter the food supply. </w:t>
      </w:r>
      <w:r>
        <w:t xml:space="preserve">Unprocessed viable </w:t>
      </w:r>
      <w:r w:rsidRPr="00C43629">
        <w:rPr>
          <w:lang w:bidi="ar-SA"/>
        </w:rPr>
        <w:t xml:space="preserve">canola seeds </w:t>
      </w:r>
      <w:r w:rsidRPr="00C43629">
        <w:t xml:space="preserve">would be considered a </w:t>
      </w:r>
      <w:r>
        <w:t xml:space="preserve">genetically modified organism and </w:t>
      </w:r>
      <w:r>
        <w:rPr>
          <w:lang w:bidi="ar-SA"/>
        </w:rPr>
        <w:t>would</w:t>
      </w:r>
      <w:r w:rsidRPr="00C43629">
        <w:rPr>
          <w:lang w:bidi="ar-SA"/>
        </w:rPr>
        <w:t xml:space="preserve"> not be </w:t>
      </w:r>
      <w:r>
        <w:rPr>
          <w:lang w:bidi="ar-SA"/>
        </w:rPr>
        <w:t>permitted</w:t>
      </w:r>
      <w:r w:rsidRPr="00C43629">
        <w:rPr>
          <w:lang w:bidi="ar-SA"/>
        </w:rPr>
        <w:t xml:space="preserve"> in Australia and New Zealand </w:t>
      </w:r>
      <w:r w:rsidRPr="00C43629">
        <w:t>without prior assessment and approval by the Gene Technology Regulator in Australia and the Environmental Protection Authority (EPA) in New Zealand.</w:t>
      </w:r>
    </w:p>
    <w:p w14:paraId="007C8496" w14:textId="75A03C37" w:rsidR="00F41ACB" w:rsidRPr="00E93F89" w:rsidRDefault="00F41ACB" w:rsidP="00F41ACB">
      <w:pPr>
        <w:pStyle w:val="Heading3"/>
      </w:pPr>
      <w:bookmarkStart w:id="24" w:name="_Toc55915840"/>
      <w:bookmarkStart w:id="25" w:name="_Toc65164394"/>
      <w:r w:rsidRPr="00E93F89">
        <w:t>1.2.1</w:t>
      </w:r>
      <w:r w:rsidRPr="00E93F89">
        <w:tab/>
        <w:t xml:space="preserve">Safety assessment sharing </w:t>
      </w:r>
      <w:r w:rsidR="0018718A">
        <w:t xml:space="preserve">project </w:t>
      </w:r>
      <w:r w:rsidRPr="00E93F89">
        <w:t>with Health Canada</w:t>
      </w:r>
      <w:bookmarkEnd w:id="24"/>
      <w:bookmarkEnd w:id="25"/>
    </w:p>
    <w:p w14:paraId="43F71F45" w14:textId="1D81A2CB" w:rsidR="00F41ACB" w:rsidRPr="00E93F89" w:rsidRDefault="00F41ACB" w:rsidP="00F41ACB">
      <w:pPr>
        <w:spacing w:after="240"/>
      </w:pPr>
      <w:r w:rsidRPr="00E93F89">
        <w:t xml:space="preserve">The application was submitted for assessment under a project being conducted by </w:t>
      </w:r>
      <w:r w:rsidR="00023288" w:rsidRPr="00023288">
        <w:t xml:space="preserve">Food Standards Australia New Zealand (FSANZ) </w:t>
      </w:r>
      <w:r w:rsidRPr="00E93F89">
        <w:t xml:space="preserve">and the Food Directorate of Health Canada </w:t>
      </w:r>
      <w:r w:rsidR="0018718A">
        <w:t xml:space="preserve">to implement </w:t>
      </w:r>
      <w:r w:rsidRPr="0022235D">
        <w:t xml:space="preserve">the joint preparation and sharing of safety assessments for </w:t>
      </w:r>
      <w:r w:rsidRPr="0022235D">
        <w:rPr>
          <w:szCs w:val="22"/>
        </w:rPr>
        <w:t>food produced using gene technology (</w:t>
      </w:r>
      <w:r w:rsidRPr="0022235D">
        <w:t>GM food)</w:t>
      </w:r>
      <w:r w:rsidRPr="0022235D">
        <w:rPr>
          <w:rStyle w:val="FootnoteReference"/>
        </w:rPr>
        <w:footnoteReference w:id="3"/>
      </w:r>
      <w:r w:rsidRPr="0022235D">
        <w:t xml:space="preserve"> – referred to as safety assessment sharing.</w:t>
      </w:r>
      <w:r w:rsidRPr="00E93F89">
        <w:t xml:space="preserve"> </w:t>
      </w:r>
    </w:p>
    <w:p w14:paraId="7A777D6B" w14:textId="53806F00" w:rsidR="00F41ACB" w:rsidRPr="00E93F89" w:rsidRDefault="00F41ACB" w:rsidP="00F41ACB">
      <w:pPr>
        <w:spacing w:after="240"/>
        <w:rPr>
          <w:szCs w:val="22"/>
        </w:rPr>
      </w:pPr>
      <w:r w:rsidRPr="00E93F89">
        <w:t xml:space="preserve">The </w:t>
      </w:r>
      <w:r w:rsidR="0018718A">
        <w:t>project</w:t>
      </w:r>
      <w:r w:rsidR="0018718A" w:rsidRPr="00E93F89">
        <w:t xml:space="preserve"> </w:t>
      </w:r>
      <w:r w:rsidRPr="00E93F89">
        <w:t xml:space="preserve">is the result of a collaboration between FSANZ and Health Canada that commenced in 2013 and which builds on a long history of information sharing </w:t>
      </w:r>
      <w:r w:rsidRPr="00E93F89">
        <w:rPr>
          <w:szCs w:val="22"/>
        </w:rPr>
        <w:t xml:space="preserve">and cooperation at an international level on GM foods. The purpose of the collaboration was to explore opportunities for improving the efficiency of GM food safety assessment by streamlining the assessment process. The goal of safety assessment sharing is to establish a system where a safety assessment is jointly prepared that meets the </w:t>
      </w:r>
      <w:r>
        <w:rPr>
          <w:szCs w:val="22"/>
        </w:rPr>
        <w:t xml:space="preserve">separate </w:t>
      </w:r>
      <w:r w:rsidRPr="00E93F89">
        <w:rPr>
          <w:szCs w:val="22"/>
        </w:rPr>
        <w:t xml:space="preserve">requirements of both agencies </w:t>
      </w:r>
      <w:r>
        <w:rPr>
          <w:szCs w:val="22"/>
        </w:rPr>
        <w:t>when</w:t>
      </w:r>
      <w:r w:rsidRPr="00E93F89">
        <w:rPr>
          <w:szCs w:val="22"/>
        </w:rPr>
        <w:t xml:space="preserve"> each undertaking their own </w:t>
      </w:r>
      <w:r>
        <w:rPr>
          <w:szCs w:val="22"/>
        </w:rPr>
        <w:t xml:space="preserve">separate </w:t>
      </w:r>
      <w:r w:rsidRPr="0022235D">
        <w:rPr>
          <w:szCs w:val="22"/>
        </w:rPr>
        <w:t>and independent</w:t>
      </w:r>
      <w:r w:rsidRPr="00E93F89">
        <w:rPr>
          <w:szCs w:val="22"/>
        </w:rPr>
        <w:t xml:space="preserve"> assessments. </w:t>
      </w:r>
    </w:p>
    <w:p w14:paraId="551377FE" w14:textId="77777777" w:rsidR="00F41ACB" w:rsidRPr="00E93F89" w:rsidRDefault="00F41ACB" w:rsidP="00F41ACB">
      <w:pPr>
        <w:spacing w:after="240"/>
        <w:rPr>
          <w:rFonts w:cs="Arial"/>
          <w:szCs w:val="22"/>
        </w:rPr>
      </w:pPr>
      <w:r w:rsidRPr="00E93F89">
        <w:rPr>
          <w:szCs w:val="22"/>
        </w:rPr>
        <w:t xml:space="preserve">Extensive work undertaken in the early stages of the collaboration confirmed the compatibility of FSANZ’s and Health Canada’s safety assessment approaches, both in terms of how safety assessments are conducted and the conclusions that are reached. Both agencies also adhere to internationally </w:t>
      </w:r>
      <w:r w:rsidRPr="00E93F89">
        <w:rPr>
          <w:rFonts w:cs="Arial"/>
          <w:szCs w:val="22"/>
        </w:rPr>
        <w:t xml:space="preserve">agreed principles and guidelines for the conduct of GM food safety assessment which were developed by the Codex </w:t>
      </w:r>
      <w:r w:rsidRPr="00E93F89">
        <w:rPr>
          <w:rFonts w:cs="Arial"/>
          <w:i/>
          <w:szCs w:val="22"/>
        </w:rPr>
        <w:t>Ad Hoc</w:t>
      </w:r>
      <w:r w:rsidRPr="00E93F89">
        <w:rPr>
          <w:rFonts w:cs="Arial"/>
          <w:szCs w:val="22"/>
        </w:rPr>
        <w:t xml:space="preserve"> Intergovernmental Task Force on Foods derived from Biotechnology (Codex, 2009). This provides a strong basis for safety assessment sharing between the two agencies.</w:t>
      </w:r>
    </w:p>
    <w:p w14:paraId="70E4ACB1" w14:textId="015DD859" w:rsidR="00587FEE" w:rsidRDefault="00F41ACB" w:rsidP="00587FEE">
      <w:pPr>
        <w:spacing w:after="240"/>
      </w:pPr>
      <w:r w:rsidRPr="00E93F89">
        <w:t xml:space="preserve">Under the system, where GM food approval is being sought in Canada, Australia and New Zealand, an applicant may request their application be assessed using a </w:t>
      </w:r>
      <w:r w:rsidRPr="0022235D">
        <w:t>safety assessment sharing approach</w:t>
      </w:r>
      <w:r w:rsidRPr="00E93F89">
        <w:t xml:space="preserve">. Applications must be submitted to both agencies and assessed </w:t>
      </w:r>
      <w:r>
        <w:t xml:space="preserve">separately by each agency </w:t>
      </w:r>
      <w:r w:rsidRPr="00E93F89">
        <w:t xml:space="preserve">according to each agency’s requirements, but only one documented food safety assessment is jointly prepared by both agencies. </w:t>
      </w:r>
      <w:r w:rsidRPr="00E93F89" w:rsidDel="0034218C">
        <w:t xml:space="preserve">For canola line MON94100, the joint food safety assessment was initially prepared by Health Canada and then provided to FSANZ for FSANZ’s review and confirmation that it met all relevant requirements for Australian and </w:t>
      </w:r>
      <w:r w:rsidRPr="00E93F89" w:rsidDel="0034218C">
        <w:lastRenderedPageBreak/>
        <w:t xml:space="preserve">New Zealand purposes. Following confirmation that these requirements were met, the jointly prepared safety assessment was used as part of the FSANZ </w:t>
      </w:r>
      <w:r w:rsidDel="0034218C">
        <w:t>assessment</w:t>
      </w:r>
      <w:r w:rsidRPr="00E93F89" w:rsidDel="0034218C">
        <w:t>.</w:t>
      </w:r>
      <w:r w:rsidR="00587FEE" w:rsidRPr="00C43629" w:rsidDel="0034218C">
        <w:t xml:space="preserve"> </w:t>
      </w:r>
    </w:p>
    <w:p w14:paraId="4BB9DCE1" w14:textId="3A1736E1" w:rsidR="007A53BF" w:rsidRPr="007A53BF" w:rsidRDefault="008C7AA3" w:rsidP="00CE59AA">
      <w:pPr>
        <w:pStyle w:val="Heading2"/>
      </w:pPr>
      <w:bookmarkStart w:id="26" w:name="_Toc65164395"/>
      <w:r>
        <w:t>1.3</w:t>
      </w:r>
      <w:r>
        <w:tab/>
        <w:t>The current s</w:t>
      </w:r>
      <w:r w:rsidR="007A53BF" w:rsidRPr="007A53BF">
        <w:t>tandard</w:t>
      </w:r>
      <w:bookmarkEnd w:id="21"/>
      <w:bookmarkEnd w:id="22"/>
      <w:bookmarkEnd w:id="23"/>
      <w:bookmarkEnd w:id="26"/>
    </w:p>
    <w:p w14:paraId="6BB912F9" w14:textId="67887845" w:rsidR="00587F1B" w:rsidRPr="00734DE9" w:rsidRDefault="00587F1B" w:rsidP="00587F1B">
      <w:pPr>
        <w:spacing w:after="240"/>
      </w:pPr>
      <w:bookmarkStart w:id="27" w:name="_Toc286391007"/>
      <w:bookmarkStart w:id="28" w:name="_Toc300933423"/>
      <w:bookmarkStart w:id="29" w:name="_Toc370223468"/>
      <w:bookmarkStart w:id="30" w:name="_Toc175381432"/>
      <w:r w:rsidRPr="00734DE9">
        <w:t xml:space="preserve">Pre-market approval is necessary before a </w:t>
      </w:r>
      <w:r w:rsidR="005E4A1A" w:rsidRPr="005E4A1A">
        <w:t>food produced using gene technology (GM food)</w:t>
      </w:r>
      <w:r w:rsidR="005E4A1A">
        <w:t xml:space="preserve"> </w:t>
      </w:r>
      <w:r w:rsidRPr="00734DE9">
        <w:t xml:space="preserve">can enter the Australian and New Zealand food supply. GM foods are only approved after a comprehensive pre-market safety assessment. Standard 1.5.2 sets out the permission and conditions for the sale of food that consists of, or has as an ingredient, a GM food. Foods that have been assessed and approved are listed in Schedule 26 of the </w:t>
      </w:r>
      <w:r w:rsidRPr="00AE6948">
        <w:rPr>
          <w:lang w:bidi="ar-SA"/>
        </w:rPr>
        <w:t>Australia New Zealand Food Standards Code</w:t>
      </w:r>
      <w:r>
        <w:rPr>
          <w:lang w:bidi="ar-SA"/>
        </w:rPr>
        <w:t xml:space="preserve"> (the </w:t>
      </w:r>
      <w:r w:rsidRPr="00734DE9">
        <w:t>Code</w:t>
      </w:r>
      <w:r>
        <w:t>)</w:t>
      </w:r>
      <w:r w:rsidRPr="00734DE9">
        <w:t xml:space="preserve">. </w:t>
      </w:r>
    </w:p>
    <w:p w14:paraId="3619C6BB" w14:textId="77777777" w:rsidR="00587F1B" w:rsidRPr="00734DE9" w:rsidRDefault="00587F1B" w:rsidP="00587F1B">
      <w:pPr>
        <w:spacing w:after="240"/>
        <w:rPr>
          <w:lang w:eastAsia="en-AU" w:bidi="ar-SA"/>
        </w:rPr>
      </w:pPr>
      <w:r w:rsidRPr="00734DE9">
        <w:t>S</w:t>
      </w:r>
      <w:r>
        <w:t>ubject to certain exceptions listed below, s</w:t>
      </w:r>
      <w:r w:rsidRPr="00734DE9">
        <w:t>ection 1.5.2—4 requires food to be labelled as ‘genetically modified’ where novel DNA and/or novel protein remains present in the final food. The requirement applies to foods for sale that consist of, or have as an ingredient (including food additives and processing aids</w:t>
      </w:r>
      <w:r>
        <w:t>)</w:t>
      </w:r>
      <w:r w:rsidRPr="00734DE9">
        <w:t xml:space="preserve">, food that is a </w:t>
      </w:r>
      <w:r w:rsidRPr="0083272F">
        <w:rPr>
          <w:i/>
        </w:rPr>
        <w:t>genetically modified food</w:t>
      </w:r>
      <w:r>
        <w:rPr>
          <w:rStyle w:val="FootnoteReference"/>
        </w:rPr>
        <w:footnoteReference w:id="4"/>
      </w:r>
      <w:r w:rsidRPr="00734DE9">
        <w:t>. Standard 1.2.1 provides that the requirements imposed by section 1.5.2—4 generally apply only to foods for retail sale and to foods sold to a caterer - see subsection 1.2.1—8(1) and section 1.2.1—15 respectively.</w:t>
      </w:r>
    </w:p>
    <w:p w14:paraId="15E9B98B" w14:textId="77777777" w:rsidR="00587F1B" w:rsidRPr="00734DE9" w:rsidRDefault="00587F1B" w:rsidP="00587F1B">
      <w:pPr>
        <w:spacing w:after="240"/>
      </w:pPr>
      <w:r w:rsidRPr="00734DE9">
        <w:t>Foods listed in subsections S26—3(2), (2A) and (3) of Schedule 26 are considered to have an altered characteristic, such as an altered composition or nutritional profile, when compared to the existing counterpart food that is not produced using gene technology. Foods listed in these subsections must also be labelled with the words ‘genetically modified’, as well as any other additional labelling required by the Schedule, regardless of the presence of novel DNA or novel protein in the foods.</w:t>
      </w:r>
    </w:p>
    <w:p w14:paraId="427FD985" w14:textId="77777777" w:rsidR="00587F1B" w:rsidRPr="00734DE9" w:rsidRDefault="00587F1B" w:rsidP="00587F1B">
      <w:pPr>
        <w:widowControl/>
        <w:spacing w:after="240"/>
      </w:pPr>
      <w:r w:rsidRPr="00734DE9">
        <w:t xml:space="preserve">The </w:t>
      </w:r>
      <w:r>
        <w:t xml:space="preserve">labelling </w:t>
      </w:r>
      <w:r w:rsidRPr="00734DE9">
        <w:t xml:space="preserve">requirement </w:t>
      </w:r>
      <w:r>
        <w:t xml:space="preserve">in section </w:t>
      </w:r>
      <w:r w:rsidRPr="00734DE9">
        <w:t>1.5.2—</w:t>
      </w:r>
      <w:r>
        <w:t>4</w:t>
      </w:r>
      <w:r w:rsidRPr="00734DE9">
        <w:t xml:space="preserve"> does not apply </w:t>
      </w:r>
      <w:r>
        <w:t>if the</w:t>
      </w:r>
      <w:r w:rsidRPr="00734DE9">
        <w:t xml:space="preserve"> </w:t>
      </w:r>
      <w:r>
        <w:t>genetically modified</w:t>
      </w:r>
      <w:r w:rsidRPr="00734DE9">
        <w:t xml:space="preserve"> food: </w:t>
      </w:r>
    </w:p>
    <w:p w14:paraId="3DC89CDB" w14:textId="77777777" w:rsidR="00587F1B" w:rsidRPr="00734DE9" w:rsidRDefault="00587F1B" w:rsidP="00DA525E">
      <w:pPr>
        <w:pStyle w:val="FSBullet1"/>
        <w:numPr>
          <w:ilvl w:val="0"/>
          <w:numId w:val="5"/>
        </w:numPr>
        <w:ind w:left="567" w:hanging="567"/>
      </w:pPr>
      <w:r w:rsidRPr="00734DE9">
        <w:t>has been highly refined (other than food that has been altered), where the effect of the refining process is to remove novel DNA or novel protein</w:t>
      </w:r>
      <w:r>
        <w:t>; or</w:t>
      </w:r>
    </w:p>
    <w:p w14:paraId="543659B8" w14:textId="77777777" w:rsidR="00587F1B" w:rsidRPr="00734DE9" w:rsidRDefault="00587F1B" w:rsidP="00DA525E">
      <w:pPr>
        <w:pStyle w:val="FSBullet1"/>
        <w:numPr>
          <w:ilvl w:val="0"/>
          <w:numId w:val="5"/>
        </w:numPr>
        <w:ind w:left="567" w:hanging="567"/>
      </w:pPr>
      <w:r w:rsidRPr="00734DE9">
        <w:t>is a substance used as a processing aid or a food additive, where novel DNA or novel protein from the substance does not remain present in the final food</w:t>
      </w:r>
      <w:r>
        <w:t>; or</w:t>
      </w:r>
    </w:p>
    <w:p w14:paraId="441CD1B8" w14:textId="77777777" w:rsidR="00587F1B" w:rsidRPr="00734DE9" w:rsidRDefault="00587F1B" w:rsidP="00DA525E">
      <w:pPr>
        <w:pStyle w:val="FSBullet1"/>
        <w:numPr>
          <w:ilvl w:val="0"/>
          <w:numId w:val="5"/>
        </w:numPr>
        <w:ind w:left="567" w:hanging="567"/>
      </w:pPr>
      <w:r w:rsidRPr="00734DE9">
        <w:t>is a flavouring substance present in the food in a concentration of no more than 1 g/kg (0.1%)</w:t>
      </w:r>
      <w:r>
        <w:t>; or</w:t>
      </w:r>
    </w:p>
    <w:p w14:paraId="20A64C93" w14:textId="77777777" w:rsidR="00587F1B" w:rsidRPr="00734DE9" w:rsidRDefault="00587F1B" w:rsidP="00DA525E">
      <w:pPr>
        <w:pStyle w:val="FSBullet1"/>
        <w:numPr>
          <w:ilvl w:val="0"/>
          <w:numId w:val="5"/>
        </w:numPr>
        <w:ind w:left="567" w:hanging="567"/>
      </w:pPr>
      <w:r w:rsidRPr="00734DE9">
        <w:t xml:space="preserve">is unintentionally present in the food in an amount of no more than 10 g/kg (or 1%) of each ingredient. </w:t>
      </w:r>
    </w:p>
    <w:p w14:paraId="26D456E1" w14:textId="77777777" w:rsidR="00587F1B" w:rsidRDefault="00587F1B" w:rsidP="00587F1B">
      <w:pPr>
        <w:widowControl/>
        <w:spacing w:before="240" w:after="240"/>
      </w:pPr>
      <w:r>
        <w:t xml:space="preserve">The above labelling requirement also does not apply if the food for sale </w:t>
      </w:r>
      <w:r w:rsidRPr="00734DE9">
        <w:t>is intended for immediate consumption</w:t>
      </w:r>
      <w:r>
        <w:t>,</w:t>
      </w:r>
      <w:r w:rsidRPr="00734DE9">
        <w:t xml:space="preserve"> and is prepared and sold from food premises and vending machines, including restaurants, take away outlets, caterers, or self-catering institutions</w:t>
      </w:r>
      <w:r>
        <w:t>.</w:t>
      </w:r>
    </w:p>
    <w:p w14:paraId="3B15C769" w14:textId="67A1A0D7" w:rsidR="00587F1B" w:rsidRPr="00734DE9" w:rsidRDefault="00587F1B" w:rsidP="00587F1B">
      <w:pPr>
        <w:widowControl/>
        <w:spacing w:before="240" w:after="240"/>
      </w:pPr>
      <w:r w:rsidRPr="00734DE9">
        <w:t>If the GM food for sale is not required to bear a label, the labelling information in section 1.5.2—4 must accompany the food or be displayed in connection with the display of the food (in accordance with subsections 1.2.1—9(2) and (3) of Standard 1.2.1).</w:t>
      </w:r>
    </w:p>
    <w:p w14:paraId="4D8FE089" w14:textId="77777777" w:rsidR="00587F1B" w:rsidRPr="00734DE9" w:rsidRDefault="00587F1B" w:rsidP="00587F1B">
      <w:pPr>
        <w:spacing w:after="240"/>
      </w:pPr>
      <w:r w:rsidRPr="00734DE9">
        <w:rPr>
          <w:lang w:eastAsia="en-AU" w:bidi="ar-SA"/>
        </w:rPr>
        <w:t>Subsection 1.1.1—10(8) of Standard 1.1.1 states that food for sale must comply with all relevant labelling requirements imposed by the Code for that food.</w:t>
      </w:r>
    </w:p>
    <w:p w14:paraId="3837A28C" w14:textId="659CF99E" w:rsidR="007A53BF" w:rsidRPr="007A53BF" w:rsidRDefault="007A53BF" w:rsidP="00CE59AA">
      <w:pPr>
        <w:pStyle w:val="Heading2"/>
        <w:rPr>
          <w:u w:color="FFFF00"/>
        </w:rPr>
      </w:pPr>
      <w:bookmarkStart w:id="31" w:name="_Toc65164396"/>
      <w:r w:rsidRPr="007A53BF">
        <w:rPr>
          <w:u w:color="FFFF00"/>
        </w:rPr>
        <w:t>1.4</w:t>
      </w:r>
      <w:r w:rsidRPr="007A53BF">
        <w:rPr>
          <w:u w:color="FFFF00"/>
        </w:rPr>
        <w:tab/>
        <w:t xml:space="preserve">Reasons for </w:t>
      </w:r>
      <w:r w:rsidRPr="00AC0756">
        <w:rPr>
          <w:u w:color="FFFF00"/>
        </w:rPr>
        <w:t xml:space="preserve">accepting </w:t>
      </w:r>
      <w:r w:rsidR="00AC0756" w:rsidRPr="00AC0756">
        <w:rPr>
          <w:u w:color="FFFF00"/>
        </w:rPr>
        <w:t>the a</w:t>
      </w:r>
      <w:r w:rsidRPr="00AC0756">
        <w:rPr>
          <w:u w:color="FFFF00"/>
        </w:rPr>
        <w:t>pplication</w:t>
      </w:r>
      <w:bookmarkEnd w:id="27"/>
      <w:bookmarkEnd w:id="31"/>
      <w:r w:rsidRPr="00AC0756">
        <w:rPr>
          <w:u w:color="FFFF00"/>
        </w:rPr>
        <w:t xml:space="preserve"> </w:t>
      </w:r>
      <w:bookmarkEnd w:id="28"/>
      <w:bookmarkEnd w:id="29"/>
    </w:p>
    <w:p w14:paraId="71277CA7" w14:textId="77777777" w:rsidR="00AC0756" w:rsidRDefault="00AC0756" w:rsidP="00AC0756">
      <w:pPr>
        <w:spacing w:after="240"/>
      </w:pPr>
      <w:bookmarkStart w:id="32" w:name="_Toc370223469"/>
      <w:bookmarkEnd w:id="30"/>
      <w:r>
        <w:t>The application was accepted for assessment because:</w:t>
      </w:r>
    </w:p>
    <w:p w14:paraId="12E60F0D" w14:textId="77777777" w:rsidR="00AC0756" w:rsidRDefault="00AC0756" w:rsidP="00DA525E">
      <w:pPr>
        <w:pStyle w:val="FSBullet1"/>
        <w:numPr>
          <w:ilvl w:val="0"/>
          <w:numId w:val="7"/>
        </w:numPr>
        <w:rPr>
          <w:color w:val="000000" w:themeColor="text1"/>
        </w:rPr>
      </w:pPr>
      <w:r>
        <w:rPr>
          <w:color w:val="000000" w:themeColor="text1"/>
        </w:rPr>
        <w:lastRenderedPageBreak/>
        <w:t xml:space="preserve">it complied with the procedural requirements under subsection 22(2) of the </w:t>
      </w:r>
      <w:r w:rsidRPr="008F1097">
        <w:rPr>
          <w:i/>
          <w:color w:val="000000" w:themeColor="text1"/>
        </w:rPr>
        <w:t>Food Standards Australia New Zealand Act 1991</w:t>
      </w:r>
      <w:r w:rsidRPr="00302398">
        <w:rPr>
          <w:color w:val="000000" w:themeColor="text1"/>
        </w:rPr>
        <w:t xml:space="preserve"> </w:t>
      </w:r>
      <w:r>
        <w:rPr>
          <w:color w:val="000000" w:themeColor="text1"/>
        </w:rPr>
        <w:t>(the FSANZ Act)</w:t>
      </w:r>
    </w:p>
    <w:p w14:paraId="1EDC2D48" w14:textId="77777777" w:rsidR="00AC0756" w:rsidRDefault="00AC0756" w:rsidP="00DA525E">
      <w:pPr>
        <w:pStyle w:val="FSBullet1"/>
        <w:numPr>
          <w:ilvl w:val="0"/>
          <w:numId w:val="7"/>
        </w:numPr>
        <w:rPr>
          <w:color w:val="000000" w:themeColor="text1"/>
        </w:rPr>
      </w:pPr>
      <w:r>
        <w:rPr>
          <w:color w:val="000000" w:themeColor="text1"/>
        </w:rPr>
        <w:t>it related to a matter that warranted the variation of a food regulatory measure</w:t>
      </w:r>
    </w:p>
    <w:p w14:paraId="7FC1E889" w14:textId="77777777" w:rsidR="00AC0756" w:rsidRDefault="00AC0756" w:rsidP="00DA525E">
      <w:pPr>
        <w:pStyle w:val="FSBullet1"/>
        <w:numPr>
          <w:ilvl w:val="0"/>
          <w:numId w:val="7"/>
        </w:numPr>
        <w:rPr>
          <w:color w:val="000000" w:themeColor="text1"/>
        </w:rPr>
      </w:pPr>
      <w:r>
        <w:rPr>
          <w:color w:val="000000" w:themeColor="text1"/>
        </w:rPr>
        <w:t>it was not so similar to a previous application for the variation of a food regulatory measure that it ought to be rejected.</w:t>
      </w:r>
    </w:p>
    <w:p w14:paraId="68022756" w14:textId="77777777" w:rsidR="007A53BF" w:rsidRPr="007A53BF" w:rsidRDefault="007A53BF" w:rsidP="00CE59AA">
      <w:pPr>
        <w:pStyle w:val="Heading2"/>
      </w:pPr>
      <w:bookmarkStart w:id="33" w:name="_Toc65164397"/>
      <w:r w:rsidRPr="007A53BF">
        <w:t>1.5</w:t>
      </w:r>
      <w:r w:rsidRPr="007A53BF">
        <w:tab/>
        <w:t>Procedure for assessment</w:t>
      </w:r>
      <w:bookmarkEnd w:id="32"/>
      <w:bookmarkEnd w:id="33"/>
    </w:p>
    <w:p w14:paraId="4AA7AB7D" w14:textId="77777777" w:rsidR="008C7AA3" w:rsidRPr="0040645B" w:rsidRDefault="008C7AA3" w:rsidP="008C7AA3">
      <w:r w:rsidRPr="0040645B">
        <w:t>The application was assessed under the General Procedure.</w:t>
      </w:r>
    </w:p>
    <w:p w14:paraId="23B048BA" w14:textId="77777777" w:rsidR="00422EC9" w:rsidRDefault="007A53BF" w:rsidP="00422EC9">
      <w:pPr>
        <w:pStyle w:val="Heading2"/>
      </w:pPr>
      <w:bookmarkStart w:id="34" w:name="_Toc65164398"/>
      <w:r>
        <w:t>1</w:t>
      </w:r>
      <w:r w:rsidR="00422EC9">
        <w:t>.6</w:t>
      </w:r>
      <w:r w:rsidR="00422EC9">
        <w:tab/>
      </w:r>
      <w:r w:rsidR="00422EC9" w:rsidRPr="00932F14">
        <w:t>Decision</w:t>
      </w:r>
      <w:bookmarkEnd w:id="34"/>
    </w:p>
    <w:p w14:paraId="2E05F0D3" w14:textId="77777777" w:rsidR="008C7AA3" w:rsidRDefault="008C7AA3" w:rsidP="008C7AA3">
      <w:pPr>
        <w:spacing w:after="240"/>
      </w:pPr>
      <w:r w:rsidRPr="00C23865">
        <w:t xml:space="preserve">The draft variation as proposed following assessment was approved without change. The </w:t>
      </w:r>
      <w:r>
        <w:t xml:space="preserve">approved draft </w:t>
      </w:r>
      <w:r w:rsidRPr="00C23865">
        <w:t xml:space="preserve">variation takes effect on </w:t>
      </w:r>
      <w:r>
        <w:t xml:space="preserve">the date of </w:t>
      </w:r>
      <w:r w:rsidRPr="00C23865">
        <w:t>g</w:t>
      </w:r>
      <w:r>
        <w:t>az</w:t>
      </w:r>
      <w:r w:rsidRPr="00C23865">
        <w:t>ettal.</w:t>
      </w:r>
      <w:r>
        <w:t xml:space="preserve"> </w:t>
      </w:r>
      <w:r w:rsidRPr="00C23865">
        <w:t>The approved draft variation is at Attachment A</w:t>
      </w:r>
      <w:r w:rsidRPr="007C22CB">
        <w:t xml:space="preserve">. </w:t>
      </w:r>
    </w:p>
    <w:p w14:paraId="34F4880C" w14:textId="77777777" w:rsidR="008C7AA3" w:rsidRPr="00D3556B" w:rsidRDefault="008C7AA3" w:rsidP="008C7AA3">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0FFBFAD" w14:textId="070BF142" w:rsidR="0012388D" w:rsidRDefault="007A53BF" w:rsidP="00755F02">
      <w:pPr>
        <w:pStyle w:val="Heading1"/>
      </w:pPr>
      <w:bookmarkStart w:id="35" w:name="_Toc6516439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w:t>
      </w:r>
      <w:r w:rsidR="008C7AA3">
        <w:t>assessment</w:t>
      </w:r>
      <w:bookmarkEnd w:id="35"/>
    </w:p>
    <w:p w14:paraId="1E694051" w14:textId="22EA0973" w:rsidR="007A53BF" w:rsidRDefault="007A53BF" w:rsidP="007A53BF">
      <w:pPr>
        <w:pStyle w:val="Heading2"/>
      </w:pPr>
      <w:bookmarkStart w:id="42" w:name="_Toc300933438"/>
      <w:bookmarkStart w:id="43" w:name="_Toc370223471"/>
      <w:bookmarkStart w:id="44" w:name="_Toc370225386"/>
      <w:bookmarkStart w:id="45" w:name="_Toc65164400"/>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1384F6FC" w14:textId="60F61F24" w:rsidR="008C7AA3" w:rsidRPr="008C7AA3" w:rsidRDefault="008C7AA3" w:rsidP="00313752">
      <w:pPr>
        <w:spacing w:after="240"/>
        <w:rPr>
          <w:lang w:bidi="ar-SA"/>
        </w:rPr>
      </w:pPr>
      <w:r w:rsidRPr="00C655BA">
        <w:rPr>
          <w:lang w:bidi="ar-SA"/>
        </w:rPr>
        <w:t xml:space="preserve">FSANZ called for submissions on a proposed draft variation on </w:t>
      </w:r>
      <w:r>
        <w:rPr>
          <w:szCs w:val="20"/>
        </w:rPr>
        <w:t>18 January 2021</w:t>
      </w:r>
      <w:r w:rsidR="004D6CE0">
        <w:rPr>
          <w:szCs w:val="20"/>
        </w:rPr>
        <w:t xml:space="preserve"> for a six week consultation period</w:t>
      </w:r>
      <w:r w:rsidRPr="00C655BA">
        <w:rPr>
          <w:lang w:bidi="ar-SA"/>
        </w:rPr>
        <w:t xml:space="preserve">. </w:t>
      </w:r>
      <w:r w:rsidR="004D6CE0">
        <w:rPr>
          <w:lang w:bidi="ar-SA"/>
        </w:rPr>
        <w:t xml:space="preserve">Three submissions </w:t>
      </w:r>
      <w:r w:rsidR="00E867C3">
        <w:rPr>
          <w:lang w:bidi="ar-SA"/>
        </w:rPr>
        <w:t xml:space="preserve">were received, all from government agencies. </w:t>
      </w:r>
      <w:r w:rsidR="00313752">
        <w:rPr>
          <w:lang w:bidi="ar-SA"/>
        </w:rPr>
        <w:t>All three submissions supported the draft variation and did not raise any issues.</w:t>
      </w:r>
    </w:p>
    <w:p w14:paraId="263FDBFA" w14:textId="710DCFE5" w:rsidR="002C1A3B" w:rsidRPr="00932F14" w:rsidRDefault="002C1A3B" w:rsidP="002C1A3B">
      <w:pPr>
        <w:pStyle w:val="Heading2"/>
      </w:pPr>
      <w:bookmarkStart w:id="52" w:name="_Toc370223472"/>
      <w:bookmarkStart w:id="53" w:name="_Toc370225387"/>
      <w:bookmarkStart w:id="54" w:name="_Toc65164401"/>
      <w:bookmarkStart w:id="55" w:name="_Toc309291812"/>
      <w:bookmarkStart w:id="56" w:name="_Toc175381442"/>
      <w:bookmarkEnd w:id="46"/>
      <w:bookmarkEnd w:id="47"/>
      <w:bookmarkEnd w:id="48"/>
      <w:bookmarkEnd w:id="49"/>
      <w:bookmarkEnd w:id="50"/>
      <w:bookmarkEnd w:id="51"/>
      <w:r>
        <w:t>2.2</w:t>
      </w:r>
      <w:r>
        <w:tab/>
      </w:r>
      <w:r w:rsidR="008C7AA3">
        <w:t>Safety</w:t>
      </w:r>
      <w:r w:rsidRPr="00932F14">
        <w:t xml:space="preserve"> </w:t>
      </w:r>
      <w:r>
        <w:t>a</w:t>
      </w:r>
      <w:r w:rsidRPr="00932F14">
        <w:t>ssessment</w:t>
      </w:r>
      <w:bookmarkEnd w:id="52"/>
      <w:bookmarkEnd w:id="53"/>
      <w:bookmarkEnd w:id="54"/>
      <w:r w:rsidRPr="00932F14">
        <w:t xml:space="preserve"> </w:t>
      </w:r>
    </w:p>
    <w:p w14:paraId="1E1B4D8C" w14:textId="2B59C093" w:rsidR="00DA525E" w:rsidRPr="00CC1AC6" w:rsidRDefault="00DA525E" w:rsidP="00DA525E">
      <w:pPr>
        <w:pStyle w:val="Heading3"/>
      </w:pPr>
      <w:bookmarkStart w:id="57" w:name="_Toc55915846"/>
      <w:bookmarkStart w:id="58" w:name="_Toc65164402"/>
      <w:bookmarkStart w:id="59" w:name="_Toc370223473"/>
      <w:bookmarkStart w:id="60" w:name="_Toc370225388"/>
      <w:bookmarkStart w:id="61" w:name="_Toc175381450"/>
      <w:bookmarkEnd w:id="55"/>
      <w:bookmarkEnd w:id="56"/>
      <w:r w:rsidRPr="00CC1AC6">
        <w:t>2.</w:t>
      </w:r>
      <w:r>
        <w:t>2</w:t>
      </w:r>
      <w:r w:rsidRPr="00CC1AC6">
        <w:t>.1</w:t>
      </w:r>
      <w:r w:rsidRPr="00CC1AC6">
        <w:tab/>
        <w:t>Safety assessment sharing process</w:t>
      </w:r>
      <w:bookmarkEnd w:id="57"/>
      <w:bookmarkEnd w:id="58"/>
    </w:p>
    <w:p w14:paraId="187ABFB1" w14:textId="77777777" w:rsidR="00DA525E" w:rsidRPr="00CC1AC6" w:rsidRDefault="00DA525E" w:rsidP="00DA525E">
      <w:pPr>
        <w:spacing w:after="240"/>
      </w:pPr>
      <w:r w:rsidRPr="00CC1AC6">
        <w:t xml:space="preserve">A food safety assessment of canola line MON94100 (Supporting Document 1) was initially undertaken by the Food Directorate of Health Canada, according to their </w:t>
      </w:r>
      <w:r w:rsidRPr="00CC1AC6">
        <w:rPr>
          <w:i/>
        </w:rPr>
        <w:t>Guidelines for the Safety Assessment of Novel Foods</w:t>
      </w:r>
      <w:r w:rsidRPr="00CC1AC6">
        <w:rPr>
          <w:rStyle w:val="FootnoteReference"/>
          <w:i/>
        </w:rPr>
        <w:footnoteReference w:id="5"/>
      </w:r>
      <w:r w:rsidRPr="00CC1AC6">
        <w:rPr>
          <w:i/>
        </w:rPr>
        <w:t xml:space="preserve"> </w:t>
      </w:r>
      <w:r w:rsidRPr="00CC1AC6">
        <w:t>and using data submitted to them by Bayer CropScience on behalf of Monsanto Canada ULC as part of an application to Health Canada for novel food approval</w:t>
      </w:r>
      <w:r w:rsidRPr="00CC1AC6">
        <w:rPr>
          <w:i/>
        </w:rPr>
        <w:t>.</w:t>
      </w:r>
      <w:r w:rsidRPr="00CC1AC6">
        <w:t xml:space="preserve"> Before being finalised by Health Canada, </w:t>
      </w:r>
      <w:r>
        <w:t>the</w:t>
      </w:r>
      <w:r w:rsidRPr="00CC1AC6">
        <w:t xml:space="preserve"> safety assessment was reviewed by FSANZ to ensure it met all relevant requirements for Australian and New Zealand purposes.</w:t>
      </w:r>
    </w:p>
    <w:p w14:paraId="381895E2" w14:textId="7C6B2A2C" w:rsidR="00DA525E" w:rsidRPr="00CC1AC6" w:rsidRDefault="00DA525E" w:rsidP="00DA525E">
      <w:pPr>
        <w:spacing w:after="240"/>
      </w:pPr>
      <w:r w:rsidRPr="00CC1AC6">
        <w:t xml:space="preserve">The </w:t>
      </w:r>
      <w:r w:rsidR="00166AB6">
        <w:t>jointly prepared</w:t>
      </w:r>
      <w:r w:rsidRPr="00CC1AC6">
        <w:t xml:space="preserve"> safety assessment and document was then used by both agencies in each making their own separate and independent safety assessments of canola line MON94100.</w:t>
      </w:r>
    </w:p>
    <w:p w14:paraId="223ADBDD" w14:textId="77777777" w:rsidR="00DA525E" w:rsidRPr="00CC1AC6" w:rsidRDefault="00DA525E" w:rsidP="00DA525E">
      <w:pPr>
        <w:spacing w:after="240"/>
      </w:pPr>
      <w:r w:rsidRPr="00CC1AC6">
        <w:t xml:space="preserve">While Health Canada’s </w:t>
      </w:r>
      <w:r w:rsidRPr="00CC1AC6">
        <w:rPr>
          <w:i/>
        </w:rPr>
        <w:t>Guidelines for the Safety Assessment of Novel Foods</w:t>
      </w:r>
      <w:r w:rsidRPr="00CC1AC6">
        <w:t>, and data requirements for GM foods, are broadly similar to the FSANZ guidelines and data requirements, some differences exist. These differences were addressed by FSANZ as follows:</w:t>
      </w:r>
    </w:p>
    <w:p w14:paraId="4711822E" w14:textId="77777777" w:rsidR="00DA525E" w:rsidRPr="00CC1AC6" w:rsidRDefault="00DA525E" w:rsidP="00DA525E">
      <w:pPr>
        <w:pStyle w:val="ListParagraph"/>
        <w:numPr>
          <w:ilvl w:val="0"/>
          <w:numId w:val="9"/>
        </w:numPr>
        <w:spacing w:after="240"/>
        <w:rPr>
          <w:lang w:bidi="ar-SA"/>
        </w:rPr>
      </w:pPr>
      <w:r w:rsidRPr="00CC1AC6">
        <w:rPr>
          <w:lang w:bidi="ar-SA"/>
        </w:rPr>
        <w:t>Information about the history of use of canola – the Health Canada assessment provides information about the history of use of canola in Canada. Additional information that is specific to Australia and New Zealand is provided in Supporting Document 2 (SD2).</w:t>
      </w:r>
    </w:p>
    <w:p w14:paraId="05BBF0D6" w14:textId="77777777" w:rsidR="00DA525E" w:rsidRPr="00CC1AC6" w:rsidRDefault="00DA525E" w:rsidP="00DA525E">
      <w:pPr>
        <w:pStyle w:val="ListParagraph"/>
        <w:spacing w:after="240"/>
        <w:ind w:left="780"/>
        <w:rPr>
          <w:lang w:bidi="ar-SA"/>
        </w:rPr>
      </w:pPr>
      <w:r w:rsidRPr="00CC1AC6">
        <w:rPr>
          <w:lang w:bidi="ar-SA"/>
        </w:rPr>
        <w:t xml:space="preserve"> </w:t>
      </w:r>
    </w:p>
    <w:p w14:paraId="1612F838" w14:textId="34B00665" w:rsidR="00DA525E" w:rsidRPr="00AB6918" w:rsidRDefault="00DA525E" w:rsidP="00DA525E">
      <w:pPr>
        <w:pStyle w:val="ListParagraph"/>
        <w:numPr>
          <w:ilvl w:val="0"/>
          <w:numId w:val="9"/>
        </w:numPr>
        <w:spacing w:after="240"/>
        <w:rPr>
          <w:lang w:bidi="ar-SA"/>
        </w:rPr>
      </w:pPr>
      <w:r w:rsidRPr="00AB6918">
        <w:rPr>
          <w:lang w:bidi="ar-SA"/>
        </w:rPr>
        <w:t>Information about the stability of the herbicide tolerance trait in MON94100</w:t>
      </w:r>
      <w:r w:rsidR="00F47C28">
        <w:rPr>
          <w:lang w:bidi="ar-SA"/>
        </w:rPr>
        <w:t xml:space="preserve"> </w:t>
      </w:r>
      <w:r w:rsidR="00F47C28" w:rsidRPr="00CC1AC6">
        <w:rPr>
          <w:lang w:bidi="ar-SA"/>
        </w:rPr>
        <w:t>–</w:t>
      </w:r>
      <w:r w:rsidR="008D7B91">
        <w:rPr>
          <w:lang w:bidi="ar-SA"/>
        </w:rPr>
        <w:softHyphen/>
      </w:r>
      <w:r w:rsidR="008D7B91" w:rsidRPr="00AB6918">
        <w:rPr>
          <w:lang w:bidi="ar-SA"/>
        </w:rPr>
        <w:t xml:space="preserve"> </w:t>
      </w:r>
      <w:r w:rsidRPr="00AB6918">
        <w:rPr>
          <w:lang w:bidi="ar-SA"/>
        </w:rPr>
        <w:t xml:space="preserve">Health Canada requires information on either genetic or phenotypic stability of the trait but not both. For MON94100, Bayer </w:t>
      </w:r>
      <w:r w:rsidRPr="00AB6918">
        <w:rPr>
          <w:lang w:bidi="ar-SA"/>
        </w:rPr>
        <w:lastRenderedPageBreak/>
        <w:t xml:space="preserve">CropScience provided evidence of genetic stability to Health Canada. In their application to FSANZ, Bayer CropScience provided evidence of both genetic and phenotypic stability in accordance with Guideline 3.5.1 of the FSANZ </w:t>
      </w:r>
      <w:r w:rsidRPr="00AB6918">
        <w:rPr>
          <w:i/>
          <w:lang w:bidi="ar-SA"/>
        </w:rPr>
        <w:t>Application Handbook</w:t>
      </w:r>
      <w:r w:rsidRPr="00AB6918">
        <w:rPr>
          <w:rStyle w:val="FootnoteReference"/>
          <w:i/>
          <w:lang w:bidi="ar-SA"/>
        </w:rPr>
        <w:footnoteReference w:id="6"/>
      </w:r>
      <w:r w:rsidRPr="00AB6918">
        <w:rPr>
          <w:lang w:bidi="ar-SA"/>
        </w:rPr>
        <w:t>. FSANZ’s assessment of the additional phenotypic stability information is provided in SD2.</w:t>
      </w:r>
    </w:p>
    <w:p w14:paraId="70C931D7" w14:textId="77777777" w:rsidR="00DA525E" w:rsidRPr="00AB6918" w:rsidRDefault="00DA525E" w:rsidP="00DA525E">
      <w:pPr>
        <w:pStyle w:val="ListParagraph"/>
        <w:rPr>
          <w:lang w:bidi="ar-SA"/>
        </w:rPr>
      </w:pPr>
    </w:p>
    <w:p w14:paraId="7189F977" w14:textId="77777777" w:rsidR="00DA525E" w:rsidRPr="00AB6918" w:rsidRDefault="00DA525E" w:rsidP="00DA525E">
      <w:pPr>
        <w:pStyle w:val="ListParagraph"/>
        <w:numPr>
          <w:ilvl w:val="0"/>
          <w:numId w:val="9"/>
        </w:numPr>
        <w:spacing w:after="240"/>
        <w:rPr>
          <w:lang w:bidi="ar-SA"/>
        </w:rPr>
      </w:pPr>
      <w:r w:rsidRPr="00AB6918">
        <w:rPr>
          <w:lang w:bidi="ar-SA"/>
        </w:rPr>
        <w:t>Information about novel herbicide metabolites – in Canada, t</w:t>
      </w:r>
      <w:r w:rsidRPr="00AB6918">
        <w:t xml:space="preserve">he review of herbicide metabolites </w:t>
      </w:r>
      <w:r w:rsidRPr="00AB6918">
        <w:rPr>
          <w:lang w:bidi="ar-SA"/>
        </w:rPr>
        <w:t xml:space="preserve">is the responsibility of Health Canada’s Pest Management Regulatory Agency, not the Food Directorate. This aspect was therefore not addressed in the Health Canada safety assessment. In the application to FSANZ, Bayer CropScience submitted information about dicamba metabolites in accordance with Guideline 3.5.1 of the FSANZ </w:t>
      </w:r>
      <w:r w:rsidRPr="00AB6918">
        <w:rPr>
          <w:i/>
          <w:lang w:bidi="ar-SA"/>
        </w:rPr>
        <w:t>Application Handbook</w:t>
      </w:r>
      <w:r w:rsidRPr="00AB6918">
        <w:rPr>
          <w:lang w:bidi="ar-SA"/>
        </w:rPr>
        <w:t>. FSANZ’s assessment of this information is provided in SD2.</w:t>
      </w:r>
    </w:p>
    <w:p w14:paraId="55344DE1" w14:textId="2D91501C" w:rsidR="00DA525E" w:rsidRPr="00AB6918" w:rsidRDefault="00DA525E" w:rsidP="00DA525E">
      <w:pPr>
        <w:pStyle w:val="Heading3"/>
      </w:pPr>
      <w:bookmarkStart w:id="62" w:name="_Toc55915847"/>
      <w:bookmarkStart w:id="63" w:name="_Toc65164403"/>
      <w:r w:rsidRPr="00AB6918">
        <w:t>2.</w:t>
      </w:r>
      <w:r>
        <w:t>2</w:t>
      </w:r>
      <w:r w:rsidRPr="00AB6918">
        <w:t>.2</w:t>
      </w:r>
      <w:r w:rsidRPr="00AB6918">
        <w:tab/>
        <w:t>Safety assessment summary</w:t>
      </w:r>
      <w:bookmarkEnd w:id="62"/>
      <w:bookmarkEnd w:id="63"/>
    </w:p>
    <w:p w14:paraId="529C901F" w14:textId="77777777" w:rsidR="00DA525E" w:rsidRPr="002178F0" w:rsidRDefault="00DA525E" w:rsidP="00DA525E">
      <w:pPr>
        <w:spacing w:after="240"/>
      </w:pPr>
      <w:r w:rsidRPr="002178F0">
        <w:t xml:space="preserve">The safety assessment of </w:t>
      </w:r>
      <w:r>
        <w:t>canola line MON94100</w:t>
      </w:r>
      <w:r w:rsidRPr="002178F0">
        <w:t xml:space="preserve"> included the following key elements: </w:t>
      </w:r>
    </w:p>
    <w:p w14:paraId="5B51D7DE" w14:textId="77777777" w:rsidR="00DA525E" w:rsidRPr="002178F0" w:rsidRDefault="00DA525E" w:rsidP="00DA525E">
      <w:pPr>
        <w:pStyle w:val="FSBullet1"/>
        <w:numPr>
          <w:ilvl w:val="0"/>
          <w:numId w:val="8"/>
        </w:numPr>
        <w:ind w:left="567" w:hanging="567"/>
      </w:pPr>
      <w:r w:rsidRPr="002178F0">
        <w:t xml:space="preserve">a characterisation of the transferred genetic material, its origin, function and stability in the </w:t>
      </w:r>
      <w:r>
        <w:t>canola</w:t>
      </w:r>
      <w:r w:rsidRPr="002178F0">
        <w:t xml:space="preserve"> genome</w:t>
      </w:r>
    </w:p>
    <w:p w14:paraId="6DD33AFC" w14:textId="77777777" w:rsidR="00DA525E" w:rsidRPr="002178F0" w:rsidRDefault="00DA525E" w:rsidP="00DA525E">
      <w:pPr>
        <w:pStyle w:val="FSBullet1"/>
        <w:numPr>
          <w:ilvl w:val="0"/>
          <w:numId w:val="8"/>
        </w:numPr>
        <w:ind w:left="567" w:hanging="567"/>
      </w:pPr>
      <w:r w:rsidRPr="002178F0">
        <w:t>characterisation of novel nucleic acids and protein in the whole food</w:t>
      </w:r>
    </w:p>
    <w:p w14:paraId="5B8ABF7E" w14:textId="77777777" w:rsidR="00DA525E" w:rsidRPr="002178F0" w:rsidRDefault="00DA525E" w:rsidP="00DA525E">
      <w:pPr>
        <w:pStyle w:val="FSBullet1"/>
        <w:numPr>
          <w:ilvl w:val="0"/>
          <w:numId w:val="8"/>
        </w:numPr>
        <w:ind w:left="567" w:hanging="567"/>
      </w:pPr>
      <w:r w:rsidRPr="002178F0">
        <w:t>detailed compositional analyses</w:t>
      </w:r>
    </w:p>
    <w:p w14:paraId="74E13EFB" w14:textId="77777777" w:rsidR="00DA525E" w:rsidRPr="002178F0" w:rsidRDefault="00DA525E" w:rsidP="00DA525E">
      <w:pPr>
        <w:pStyle w:val="FSBullet1"/>
        <w:numPr>
          <w:ilvl w:val="0"/>
          <w:numId w:val="8"/>
        </w:numPr>
        <w:ind w:left="567" w:hanging="567"/>
      </w:pPr>
      <w:r w:rsidRPr="002178F0">
        <w:t>evaluation of intended and unintended changes</w:t>
      </w:r>
    </w:p>
    <w:p w14:paraId="003A06D8" w14:textId="77777777" w:rsidR="00DA525E" w:rsidRDefault="00DA525E" w:rsidP="00DA525E">
      <w:pPr>
        <w:pStyle w:val="FSBullet1"/>
        <w:numPr>
          <w:ilvl w:val="0"/>
          <w:numId w:val="8"/>
        </w:numPr>
        <w:spacing w:after="240"/>
        <w:ind w:left="567" w:hanging="567"/>
      </w:pPr>
      <w:r w:rsidRPr="002178F0">
        <w:t xml:space="preserve">the potential for any newly expressed protein to be either allergenic or toxic in humans. </w:t>
      </w:r>
    </w:p>
    <w:p w14:paraId="4D25300F" w14:textId="77777777" w:rsidR="00DA525E" w:rsidRPr="00CA731B" w:rsidRDefault="00DA525E" w:rsidP="00DA525E">
      <w:pPr>
        <w:spacing w:after="240"/>
      </w:pPr>
      <w:r w:rsidRPr="00CA731B">
        <w:t xml:space="preserve">The safety assessment had regard to information from a variety of sources including, but not limited to, a data package provided by the applicant (application and study reports), the scientific literature and </w:t>
      </w:r>
      <w:r w:rsidRPr="00183198">
        <w:t xml:space="preserve">previous </w:t>
      </w:r>
      <w:r w:rsidRPr="00CA731B">
        <w:t>applications.</w:t>
      </w:r>
    </w:p>
    <w:p w14:paraId="26B19402" w14:textId="32AC9E83" w:rsidR="00DA525E" w:rsidRDefault="00DA525E" w:rsidP="00DA525E">
      <w:pPr>
        <w:spacing w:after="240"/>
      </w:pPr>
      <w:r w:rsidRPr="002178F0">
        <w:t xml:space="preserve">The assessment of </w:t>
      </w:r>
      <w:r>
        <w:t>canola</w:t>
      </w:r>
      <w:r w:rsidRPr="002178F0">
        <w:t xml:space="preserve"> line </w:t>
      </w:r>
      <w:r>
        <w:t>MON94100</w:t>
      </w:r>
      <w:r w:rsidRPr="002178F0">
        <w:t xml:space="preserve"> was restricted to human food safety and nutritional issues. Th</w:t>
      </w:r>
      <w:r>
        <w:t>e</w:t>
      </w:r>
      <w:r w:rsidRPr="002178F0">
        <w:t xml:space="preserve"> assessment therefore </w:t>
      </w:r>
      <w:r>
        <w:t>did</w:t>
      </w:r>
      <w:r w:rsidRPr="002178F0">
        <w:t xml:space="preserve"> not address any risks to the environment that may occur as </w:t>
      </w:r>
      <w:r w:rsidR="008C3E29">
        <w:t>a</w:t>
      </w:r>
      <w:r w:rsidR="008C3E29" w:rsidRPr="002178F0">
        <w:t xml:space="preserve"> </w:t>
      </w:r>
      <w:r w:rsidRPr="002178F0">
        <w:t xml:space="preserve">result of growing </w:t>
      </w:r>
      <w:r>
        <w:t>canola</w:t>
      </w:r>
      <w:r w:rsidRPr="002178F0">
        <w:t xml:space="preserve"> line </w:t>
      </w:r>
      <w:r>
        <w:t>MON94100</w:t>
      </w:r>
      <w:r w:rsidRPr="002178F0">
        <w:t xml:space="preserve">, or any risks to animals that may consume feed derived from </w:t>
      </w:r>
      <w:r>
        <w:t>canola</w:t>
      </w:r>
      <w:r w:rsidRPr="002178F0">
        <w:t xml:space="preserve"> line </w:t>
      </w:r>
      <w:r>
        <w:t>MON94100</w:t>
      </w:r>
      <w:r w:rsidRPr="002178F0">
        <w:t xml:space="preserve">. Cultivation in </w:t>
      </w:r>
      <w:r w:rsidRPr="005F63E7">
        <w:t xml:space="preserve">Australia or New Zealand would require separate regulatory assessment and approval, by the </w:t>
      </w:r>
      <w:r>
        <w:t>Gene Technology Regulator</w:t>
      </w:r>
      <w:r w:rsidRPr="005F63E7">
        <w:t xml:space="preserve"> in Australia and by the </w:t>
      </w:r>
      <w:r>
        <w:t>EPA</w:t>
      </w:r>
      <w:r w:rsidRPr="005F63E7">
        <w:t xml:space="preserve"> in </w:t>
      </w:r>
      <w:r w:rsidRPr="002178F0">
        <w:t>New Zealand.</w:t>
      </w:r>
    </w:p>
    <w:p w14:paraId="0587C974" w14:textId="77777777" w:rsidR="00DA525E" w:rsidRPr="002178F0" w:rsidRDefault="00DA525E" w:rsidP="00DA525E">
      <w:pPr>
        <w:spacing w:after="240"/>
      </w:pPr>
      <w:r w:rsidRPr="002178F0">
        <w:t xml:space="preserve">No potential public health and safety concerns </w:t>
      </w:r>
      <w:r>
        <w:t>were</w:t>
      </w:r>
      <w:r w:rsidRPr="002178F0">
        <w:t xml:space="preserve"> identified. </w:t>
      </w:r>
    </w:p>
    <w:p w14:paraId="45480782" w14:textId="77777777" w:rsidR="00DA525E" w:rsidRPr="002178F0" w:rsidRDefault="00DA525E" w:rsidP="00DA525E">
      <w:pPr>
        <w:spacing w:after="240"/>
      </w:pPr>
      <w:r w:rsidRPr="002178F0">
        <w:t xml:space="preserve">Based on the data </w:t>
      </w:r>
      <w:r>
        <w:t>submitted in support of the</w:t>
      </w:r>
      <w:r w:rsidRPr="002178F0">
        <w:t xml:space="preserve"> </w:t>
      </w:r>
      <w:r>
        <w:t>a</w:t>
      </w:r>
      <w:r w:rsidRPr="002178F0">
        <w:t xml:space="preserve">pplication, and other available information, food derived from </w:t>
      </w:r>
      <w:r>
        <w:t>canola</w:t>
      </w:r>
      <w:r w:rsidRPr="002178F0">
        <w:t xml:space="preserve"> line </w:t>
      </w:r>
      <w:r>
        <w:t>MON94100</w:t>
      </w:r>
      <w:r w:rsidRPr="002178F0">
        <w:t xml:space="preserve"> is considered to be as safe for human consumption as food derived from non-GM </w:t>
      </w:r>
      <w:r>
        <w:t>canola</w:t>
      </w:r>
      <w:r w:rsidRPr="002178F0">
        <w:t xml:space="preserve"> cultivars.</w:t>
      </w:r>
    </w:p>
    <w:p w14:paraId="0419BF59" w14:textId="77777777" w:rsidR="002C1A3B" w:rsidRPr="00932F14" w:rsidRDefault="002C1A3B" w:rsidP="002C1A3B">
      <w:pPr>
        <w:pStyle w:val="Heading2"/>
      </w:pPr>
      <w:bookmarkStart w:id="64" w:name="_Toc65164404"/>
      <w:r>
        <w:t>2.3</w:t>
      </w:r>
      <w:r>
        <w:tab/>
        <w:t>Risk management</w:t>
      </w:r>
      <w:bookmarkEnd w:id="59"/>
      <w:bookmarkEnd w:id="60"/>
      <w:bookmarkEnd w:id="64"/>
    </w:p>
    <w:p w14:paraId="6B2D55F4" w14:textId="0FF1F093" w:rsidR="00790FD8" w:rsidRDefault="00790FD8" w:rsidP="00790FD8">
      <w:pPr>
        <w:pStyle w:val="Heading3"/>
      </w:pPr>
      <w:bookmarkStart w:id="65" w:name="_Toc65164405"/>
      <w:bookmarkStart w:id="66" w:name="_Toc309291814"/>
      <w:bookmarkStart w:id="67" w:name="_Toc370225389"/>
      <w:bookmarkStart w:id="68" w:name="_Toc286391012"/>
      <w:bookmarkEnd w:id="61"/>
      <w:r>
        <w:t>2.3.1</w:t>
      </w:r>
      <w:r>
        <w:tab/>
        <w:t>Labelling</w:t>
      </w:r>
      <w:bookmarkEnd w:id="65"/>
    </w:p>
    <w:p w14:paraId="23794902" w14:textId="2EC182DC" w:rsidR="00A03E8E" w:rsidRPr="00AD5055" w:rsidRDefault="00A03E8E" w:rsidP="00A03E8E">
      <w:pPr>
        <w:rPr>
          <w:color w:val="000000" w:themeColor="text1"/>
          <w:szCs w:val="22"/>
        </w:rPr>
      </w:pPr>
      <w:r w:rsidRPr="00B228A3">
        <w:rPr>
          <w:color w:val="000000" w:themeColor="text1"/>
        </w:rPr>
        <w:t xml:space="preserve">In accordance </w:t>
      </w:r>
      <w:r w:rsidRPr="00AD5055">
        <w:rPr>
          <w:color w:val="000000" w:themeColor="text1"/>
          <w:szCs w:val="22"/>
        </w:rPr>
        <w:t xml:space="preserve">with the labelling provisions in Standard 1.5.2 (see section 1.3 of this Report), food </w:t>
      </w:r>
      <w:r>
        <w:rPr>
          <w:color w:val="000000" w:themeColor="text1"/>
          <w:szCs w:val="22"/>
        </w:rPr>
        <w:t xml:space="preserve">for sale </w:t>
      </w:r>
      <w:r w:rsidRPr="00AD5055">
        <w:rPr>
          <w:color w:val="000000" w:themeColor="text1"/>
          <w:szCs w:val="22"/>
        </w:rPr>
        <w:t xml:space="preserve">derived from </w:t>
      </w:r>
      <w:r w:rsidR="00F3713C">
        <w:rPr>
          <w:color w:val="000000" w:themeColor="text1"/>
          <w:szCs w:val="22"/>
        </w:rPr>
        <w:t xml:space="preserve">a GM food such as </w:t>
      </w:r>
      <w:r w:rsidRPr="00AD5055">
        <w:rPr>
          <w:color w:val="000000" w:themeColor="text1"/>
          <w:szCs w:val="22"/>
        </w:rPr>
        <w:t>canola line MON94100 w</w:t>
      </w:r>
      <w:r w:rsidR="00CA7FA2">
        <w:rPr>
          <w:color w:val="000000" w:themeColor="text1"/>
          <w:szCs w:val="22"/>
        </w:rPr>
        <w:t>ill</w:t>
      </w:r>
      <w:r w:rsidRPr="00AD5055">
        <w:rPr>
          <w:color w:val="000000" w:themeColor="text1"/>
          <w:szCs w:val="22"/>
        </w:rPr>
        <w:t xml:space="preserve"> be required to be labelled as ‘genetically modified’ if </w:t>
      </w:r>
      <w:r>
        <w:rPr>
          <w:color w:val="000000" w:themeColor="text1"/>
          <w:szCs w:val="22"/>
        </w:rPr>
        <w:t>(among other things) the GM food</w:t>
      </w:r>
      <w:r w:rsidRPr="00AD5055">
        <w:rPr>
          <w:color w:val="000000" w:themeColor="text1"/>
          <w:szCs w:val="22"/>
        </w:rPr>
        <w:t>:</w:t>
      </w:r>
    </w:p>
    <w:p w14:paraId="7EF29BFA" w14:textId="77777777" w:rsidR="00A03E8E" w:rsidRPr="00AD5055" w:rsidRDefault="00A03E8E" w:rsidP="00A03E8E">
      <w:pPr>
        <w:pStyle w:val="AARBullet"/>
        <w:rPr>
          <w:sz w:val="22"/>
          <w:szCs w:val="22"/>
        </w:rPr>
      </w:pPr>
      <w:r w:rsidRPr="00AD5055">
        <w:rPr>
          <w:sz w:val="22"/>
          <w:szCs w:val="22"/>
        </w:rPr>
        <w:t>contains novel DNA or novel protein;</w:t>
      </w:r>
      <w:r>
        <w:rPr>
          <w:sz w:val="22"/>
          <w:szCs w:val="22"/>
        </w:rPr>
        <w:t xml:space="preserve"> or</w:t>
      </w:r>
    </w:p>
    <w:p w14:paraId="3C56C63F" w14:textId="77777777" w:rsidR="00A03E8E" w:rsidRPr="00AD5055" w:rsidRDefault="00A03E8E" w:rsidP="00A03E8E">
      <w:pPr>
        <w:pStyle w:val="AARBullet"/>
        <w:spacing w:after="0"/>
        <w:ind w:left="357" w:hanging="357"/>
        <w:rPr>
          <w:sz w:val="22"/>
          <w:szCs w:val="22"/>
        </w:rPr>
      </w:pPr>
      <w:r w:rsidRPr="00AD5055">
        <w:rPr>
          <w:sz w:val="22"/>
          <w:szCs w:val="22"/>
        </w:rPr>
        <w:t xml:space="preserve">is listed in </w:t>
      </w:r>
      <w:r>
        <w:rPr>
          <w:sz w:val="22"/>
          <w:szCs w:val="22"/>
        </w:rPr>
        <w:t xml:space="preserve">subsection </w:t>
      </w:r>
      <w:r w:rsidRPr="00AD5055">
        <w:rPr>
          <w:sz w:val="22"/>
          <w:szCs w:val="22"/>
        </w:rPr>
        <w:t>S26—3</w:t>
      </w:r>
      <w:r>
        <w:rPr>
          <w:sz w:val="22"/>
          <w:szCs w:val="22"/>
        </w:rPr>
        <w:t>(2), 2(A) or (3)</w:t>
      </w:r>
      <w:r w:rsidRPr="00AD5055">
        <w:rPr>
          <w:sz w:val="22"/>
          <w:szCs w:val="22"/>
        </w:rPr>
        <w:t xml:space="preserve"> of Schedule 26</w:t>
      </w:r>
      <w:r>
        <w:rPr>
          <w:sz w:val="22"/>
          <w:szCs w:val="22"/>
        </w:rPr>
        <w:t xml:space="preserve"> as being subject to the condition that the labelling must comply with section 1.5.2—4 of Standard 1.5.2 (</w:t>
      </w:r>
      <w:r w:rsidRPr="00AD5055">
        <w:rPr>
          <w:sz w:val="22"/>
          <w:szCs w:val="22"/>
        </w:rPr>
        <w:t>such food has altered characteristics).</w:t>
      </w:r>
      <w:r>
        <w:rPr>
          <w:sz w:val="22"/>
          <w:szCs w:val="22"/>
        </w:rPr>
        <w:t xml:space="preserve"> FSANZ has determined that food derived from MON94100 does not have altered characteristics.</w:t>
      </w:r>
    </w:p>
    <w:p w14:paraId="6800459C" w14:textId="77777777" w:rsidR="00A03E8E" w:rsidRDefault="00A03E8E" w:rsidP="00A03E8E">
      <w:pPr>
        <w:rPr>
          <w:color w:val="000000" w:themeColor="text1"/>
          <w:szCs w:val="22"/>
          <w:highlight w:val="green"/>
        </w:rPr>
      </w:pPr>
    </w:p>
    <w:p w14:paraId="6D7B72FF" w14:textId="2F6D67D2" w:rsidR="00A03E8E" w:rsidRPr="009B61E0" w:rsidRDefault="00A03E8E" w:rsidP="00A03E8E">
      <w:pPr>
        <w:rPr>
          <w:rFonts w:cs="Arial"/>
          <w:szCs w:val="22"/>
        </w:rPr>
      </w:pPr>
      <w:r w:rsidRPr="00631781">
        <w:rPr>
          <w:rFonts w:cs="Arial"/>
        </w:rPr>
        <w:t>As noted in section 1.2</w:t>
      </w:r>
      <w:r>
        <w:rPr>
          <w:rFonts w:cs="Arial"/>
        </w:rPr>
        <w:t xml:space="preserve"> of this report</w:t>
      </w:r>
      <w:r w:rsidRPr="00631781">
        <w:rPr>
          <w:rFonts w:cs="Arial"/>
        </w:rPr>
        <w:t>, oil w</w:t>
      </w:r>
      <w:r w:rsidR="00CA7FA2">
        <w:rPr>
          <w:rFonts w:cs="Arial"/>
        </w:rPr>
        <w:t>ill</w:t>
      </w:r>
      <w:r w:rsidRPr="00631781">
        <w:rPr>
          <w:rFonts w:cs="Arial"/>
        </w:rPr>
        <w:t xml:space="preserve"> be the major product from canola line MON94100. Canola oil is unlikely </w:t>
      </w:r>
      <w:r>
        <w:rPr>
          <w:rFonts w:cs="Arial"/>
        </w:rPr>
        <w:t>to contain novel DNA or novel protein</w:t>
      </w:r>
      <w:r w:rsidRPr="009047A9">
        <w:rPr>
          <w:rFonts w:cs="Arial"/>
        </w:rPr>
        <w:t xml:space="preserve"> </w:t>
      </w:r>
      <w:r>
        <w:rPr>
          <w:rFonts w:cs="Arial"/>
        </w:rPr>
        <w:t>due to the refining process used to extract the oil from the seed</w:t>
      </w:r>
      <w:r w:rsidRPr="00631781">
        <w:rPr>
          <w:rFonts w:cs="Arial"/>
        </w:rPr>
        <w:t xml:space="preserve">. </w:t>
      </w:r>
      <w:r w:rsidRPr="00631781">
        <w:rPr>
          <w:rFonts w:cs="Arial"/>
          <w:szCs w:val="22"/>
        </w:rPr>
        <w:t xml:space="preserve">In accordance with the existing labelling provisions in Standard 1.5.2, labelling </w:t>
      </w:r>
      <w:r>
        <w:rPr>
          <w:rFonts w:cs="Arial"/>
          <w:szCs w:val="22"/>
        </w:rPr>
        <w:t>is unlikely to</w:t>
      </w:r>
      <w:r w:rsidRPr="00631781">
        <w:rPr>
          <w:rFonts w:cs="Arial"/>
          <w:szCs w:val="22"/>
        </w:rPr>
        <w:t xml:space="preserve"> apply to highly refined products from canola line MON94100 such as oil. </w:t>
      </w:r>
      <w:r>
        <w:rPr>
          <w:rFonts w:cs="Arial"/>
        </w:rPr>
        <w:t>MON94100 products such as whole canola seeds</w:t>
      </w:r>
      <w:r>
        <w:rPr>
          <w:rStyle w:val="FootnoteReference"/>
          <w:rFonts w:cs="Arial"/>
        </w:rPr>
        <w:footnoteReference w:id="7"/>
      </w:r>
      <w:r>
        <w:rPr>
          <w:rFonts w:cs="Arial"/>
        </w:rPr>
        <w:t xml:space="preserve"> and canola meal (a by-product of seed oil extraction) will contain novel DNA and novel protein, and will require labelling as ‘genetically modified’.</w:t>
      </w:r>
    </w:p>
    <w:p w14:paraId="33F78E1C" w14:textId="77777777" w:rsidR="00A03E8E" w:rsidRDefault="00A03E8E" w:rsidP="00A03E8E">
      <w:pPr>
        <w:rPr>
          <w:rFonts w:cs="Arial"/>
        </w:rPr>
      </w:pPr>
    </w:p>
    <w:p w14:paraId="3B138A2F" w14:textId="29377D47" w:rsidR="00A03E8E" w:rsidRDefault="00A03E8E" w:rsidP="00A03E8E">
      <w:pPr>
        <w:spacing w:after="240"/>
        <w:rPr>
          <w:rFonts w:cs="Arial"/>
        </w:rPr>
      </w:pPr>
      <w:r>
        <w:rPr>
          <w:rFonts w:cs="Arial"/>
        </w:rPr>
        <w:t xml:space="preserve">The requirements for labelling as ‘genetically modified’ differ depending on whether the GM food is an ingredient of the food for sale or not. For example, </w:t>
      </w:r>
      <w:r w:rsidRPr="00DB5082">
        <w:rPr>
          <w:rFonts w:cs="Arial"/>
        </w:rPr>
        <w:t xml:space="preserve">bread containing whole canola seeds that is </w:t>
      </w:r>
      <w:r>
        <w:rPr>
          <w:rFonts w:cs="Arial"/>
        </w:rPr>
        <w:t>for retail sale w</w:t>
      </w:r>
      <w:r w:rsidR="00CA7FA2">
        <w:rPr>
          <w:rFonts w:cs="Arial"/>
        </w:rPr>
        <w:t>ill</w:t>
      </w:r>
      <w:r>
        <w:rPr>
          <w:rFonts w:cs="Arial"/>
        </w:rPr>
        <w:t xml:space="preserve"> require the labelling statement.</w:t>
      </w:r>
    </w:p>
    <w:p w14:paraId="6C211883" w14:textId="1CE29BFA" w:rsidR="004520B0" w:rsidRDefault="00A03E8E" w:rsidP="004520B0">
      <w:r>
        <w:rPr>
          <w:rFonts w:cs="Arial"/>
        </w:rPr>
        <w:t xml:space="preserve">However, FSANZ notes that MON94100 products may be used to manufacture a food that is not itself a food for sale, but is used as an ingredient in foods for retail sale or in a food sold to a caterer (for example, whole canola seeds from MON94100 are used as an ingredient in bread and the bread is then used as a croutons in a ‘ready meal’ salad). As such, the ingredients in the food for sale are not GM foods and are not subject to labelling requirements set out in section 1.5.2—4. </w:t>
      </w:r>
    </w:p>
    <w:p w14:paraId="6B25AB55" w14:textId="0C7A1C92" w:rsidR="004520B0" w:rsidRDefault="004520B0" w:rsidP="004520B0">
      <w:pPr>
        <w:pStyle w:val="Heading3"/>
      </w:pPr>
      <w:bookmarkStart w:id="69" w:name="_Toc65164406"/>
      <w:r>
        <w:t>2.3.2</w:t>
      </w:r>
      <w:r>
        <w:tab/>
        <w:t>Detection methodology</w:t>
      </w:r>
      <w:bookmarkEnd w:id="69"/>
    </w:p>
    <w:p w14:paraId="2109B780" w14:textId="1733B363" w:rsidR="00520953" w:rsidRPr="006B1393" w:rsidRDefault="00520953" w:rsidP="00520953">
      <w:pPr>
        <w:spacing w:after="240"/>
      </w:pPr>
      <w:r w:rsidRPr="006B1393">
        <w:t>An Expert Advisory Group (EAG), involving laboratory personnel and representatives of the Australian and New Zealand jurisdictions was formed by the Food Regulation Standing Committee’s Implementation Sub-Committee</w:t>
      </w:r>
      <w:r w:rsidRPr="006B1393">
        <w:rPr>
          <w:rStyle w:val="FootnoteReference"/>
        </w:rPr>
        <w:footnoteReference w:id="8"/>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0CD180A5" w14:textId="77777777" w:rsidR="00520953" w:rsidRPr="006B1393" w:rsidRDefault="00520953" w:rsidP="00520953">
      <w:pPr>
        <w:spacing w:after="240"/>
      </w:pPr>
      <w:r w:rsidRPr="006B1393">
        <w:t xml:space="preserve">The EAG indicated that for GM </w:t>
      </w:r>
      <w:r>
        <w:t>a</w:t>
      </w:r>
      <w:r w:rsidRPr="006B1393">
        <w:t>pplications, the full DNA sequence of the insert and adjacent genomic DNA are sufficient data to be provided for analytical purposes. Using this information, any DNA analytical laboratory would have the capability to develop a</w:t>
      </w:r>
      <w:r>
        <w:t xml:space="preserve"> </w:t>
      </w:r>
      <w:r w:rsidRPr="006B1393">
        <w:t xml:space="preserve">PCR-based detection method. </w:t>
      </w:r>
      <w:r w:rsidRPr="002F57C9">
        <w:t>This sequence information was supplied by the applicant for A1216.</w:t>
      </w:r>
    </w:p>
    <w:p w14:paraId="0E13FD26" w14:textId="77777777" w:rsidR="002C1A3B" w:rsidRPr="008C301D" w:rsidRDefault="002C1A3B" w:rsidP="002C1A3B">
      <w:pPr>
        <w:pStyle w:val="Heading2"/>
      </w:pPr>
      <w:bookmarkStart w:id="70" w:name="_Toc65164407"/>
      <w:r>
        <w:t>2</w:t>
      </w:r>
      <w:r w:rsidRPr="008C301D">
        <w:t>.</w:t>
      </w:r>
      <w:r>
        <w:t>4</w:t>
      </w:r>
      <w:r w:rsidRPr="008C301D">
        <w:tab/>
        <w:t>Risk communication</w:t>
      </w:r>
      <w:bookmarkEnd w:id="66"/>
      <w:bookmarkEnd w:id="67"/>
      <w:bookmarkEnd w:id="70"/>
      <w:r w:rsidRPr="008C301D">
        <w:t xml:space="preserve"> </w:t>
      </w:r>
    </w:p>
    <w:p w14:paraId="2FE34C2F" w14:textId="77777777" w:rsidR="002C1A3B" w:rsidRPr="00520953" w:rsidRDefault="002C1A3B" w:rsidP="002C1A3B">
      <w:pPr>
        <w:pStyle w:val="Heading3"/>
      </w:pPr>
      <w:bookmarkStart w:id="71" w:name="_Toc300933437"/>
      <w:bookmarkStart w:id="72" w:name="_Toc370223475"/>
      <w:bookmarkStart w:id="73" w:name="_Toc370225390"/>
      <w:bookmarkStart w:id="74" w:name="_Toc65164408"/>
      <w:r w:rsidRPr="00520953">
        <w:t>2.4.1</w:t>
      </w:r>
      <w:r w:rsidRPr="00520953">
        <w:tab/>
        <w:t>Consultation</w:t>
      </w:r>
      <w:bookmarkEnd w:id="71"/>
      <w:bookmarkEnd w:id="72"/>
      <w:bookmarkEnd w:id="73"/>
      <w:bookmarkEnd w:id="74"/>
    </w:p>
    <w:p w14:paraId="5650AB2C" w14:textId="65409943" w:rsidR="00520953" w:rsidRPr="00874567" w:rsidRDefault="00520953" w:rsidP="00520953">
      <w:pPr>
        <w:spacing w:after="240"/>
        <w:rPr>
          <w:szCs w:val="22"/>
        </w:rPr>
      </w:pPr>
      <w:r w:rsidRPr="00874567">
        <w:rPr>
          <w:szCs w:val="22"/>
        </w:rPr>
        <w:t xml:space="preserve">Consultation is a key part of FSANZ’s standards development process. </w:t>
      </w:r>
      <w:r w:rsidRPr="00756A52">
        <w:rPr>
          <w:lang w:bidi="ar-SA"/>
        </w:rPr>
        <w:t xml:space="preserve">The process by which FSANZ considers standards matters is open, accountable, consultative and transparent. Public submissions are </w:t>
      </w:r>
      <w:r>
        <w:rPr>
          <w:lang w:bidi="ar-SA"/>
        </w:rPr>
        <w:t>requested</w:t>
      </w:r>
      <w:r w:rsidRPr="00756A52">
        <w:rPr>
          <w:lang w:bidi="ar-SA"/>
        </w:rPr>
        <w:t xml:space="preserve"> to obtain the views of interested p</w:t>
      </w:r>
      <w:r>
        <w:rPr>
          <w:lang w:bidi="ar-SA"/>
        </w:rPr>
        <w:t>arties on issues raised by the a</w:t>
      </w:r>
      <w:r w:rsidRPr="00756A52">
        <w:rPr>
          <w:lang w:bidi="ar-SA"/>
        </w:rPr>
        <w:t>pplication and the impacts of regulatory options.</w:t>
      </w:r>
    </w:p>
    <w:p w14:paraId="3DA5F42B" w14:textId="3A30AB31" w:rsidR="00520953" w:rsidRPr="00AB6918" w:rsidRDefault="00520953" w:rsidP="00520953">
      <w:pPr>
        <w:spacing w:after="240"/>
        <w:rPr>
          <w:szCs w:val="22"/>
        </w:rPr>
      </w:pPr>
      <w:r w:rsidRPr="00AB6918">
        <w:rPr>
          <w:szCs w:val="22"/>
        </w:rPr>
        <w:t xml:space="preserve">As this </w:t>
      </w:r>
      <w:r>
        <w:rPr>
          <w:szCs w:val="22"/>
        </w:rPr>
        <w:t>was</w:t>
      </w:r>
      <w:r w:rsidRPr="00AB6918">
        <w:rPr>
          <w:szCs w:val="22"/>
        </w:rPr>
        <w:t xml:space="preserve"> the first GM </w:t>
      </w:r>
      <w:r>
        <w:rPr>
          <w:szCs w:val="22"/>
        </w:rPr>
        <w:t xml:space="preserve">food </w:t>
      </w:r>
      <w:r w:rsidRPr="00AB6918">
        <w:rPr>
          <w:szCs w:val="22"/>
        </w:rPr>
        <w:t xml:space="preserve">application under the </w:t>
      </w:r>
      <w:r w:rsidR="006C2A67">
        <w:rPr>
          <w:szCs w:val="22"/>
        </w:rPr>
        <w:t xml:space="preserve">joint </w:t>
      </w:r>
      <w:r w:rsidRPr="00AB6918">
        <w:rPr>
          <w:szCs w:val="22"/>
        </w:rPr>
        <w:t xml:space="preserve">safety assessment sharing arrangement, FSANZ has </w:t>
      </w:r>
      <w:r>
        <w:rPr>
          <w:szCs w:val="22"/>
        </w:rPr>
        <w:t>provided</w:t>
      </w:r>
      <w:r w:rsidRPr="00AB6918">
        <w:rPr>
          <w:szCs w:val="22"/>
        </w:rPr>
        <w:t xml:space="preserve"> additional information on </w:t>
      </w:r>
      <w:r w:rsidR="00313752">
        <w:rPr>
          <w:szCs w:val="22"/>
        </w:rPr>
        <w:t>the</w:t>
      </w:r>
      <w:r w:rsidRPr="00AB6918">
        <w:rPr>
          <w:szCs w:val="22"/>
        </w:rPr>
        <w:t xml:space="preserve"> </w:t>
      </w:r>
      <w:r w:rsidRPr="00020DA1">
        <w:rPr>
          <w:szCs w:val="22"/>
        </w:rPr>
        <w:t>website</w:t>
      </w:r>
      <w:r>
        <w:rPr>
          <w:rStyle w:val="FootnoteReference"/>
          <w:szCs w:val="22"/>
        </w:rPr>
        <w:footnoteReference w:id="9"/>
      </w:r>
      <w:r>
        <w:rPr>
          <w:szCs w:val="22"/>
        </w:rPr>
        <w:t xml:space="preserve"> </w:t>
      </w:r>
      <w:r w:rsidRPr="00AB6918">
        <w:rPr>
          <w:szCs w:val="22"/>
        </w:rPr>
        <w:t xml:space="preserve">about the assessment process. </w:t>
      </w:r>
    </w:p>
    <w:p w14:paraId="16DC88A0" w14:textId="3D448836" w:rsidR="00520953" w:rsidRPr="00756A52" w:rsidRDefault="00520953" w:rsidP="00520953">
      <w:pPr>
        <w:spacing w:after="240"/>
        <w:rPr>
          <w:lang w:bidi="ar-SA"/>
        </w:rPr>
      </w:pPr>
      <w:r w:rsidRPr="00756A52">
        <w:rPr>
          <w:szCs w:val="22"/>
        </w:rPr>
        <w:t xml:space="preserve">Public submissions were invited on a draft variation which was released for public comment between </w:t>
      </w:r>
      <w:r>
        <w:rPr>
          <w:szCs w:val="22"/>
        </w:rPr>
        <w:t xml:space="preserve">18 January </w:t>
      </w:r>
      <w:r w:rsidRPr="00756A52">
        <w:rPr>
          <w:szCs w:val="22"/>
        </w:rPr>
        <w:t>and</w:t>
      </w:r>
      <w:r>
        <w:rPr>
          <w:szCs w:val="22"/>
        </w:rPr>
        <w:t xml:space="preserve"> 1 March 2021</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25721D9F" w14:textId="5A08AFA0" w:rsidR="00520953" w:rsidRPr="009D23D5" w:rsidRDefault="00520953" w:rsidP="00520953">
      <w:pPr>
        <w:spacing w:after="240"/>
        <w:rPr>
          <w:szCs w:val="22"/>
        </w:rPr>
      </w:pPr>
      <w:r w:rsidRPr="00183B79">
        <w:rPr>
          <w:szCs w:val="22"/>
        </w:rPr>
        <w:lastRenderedPageBreak/>
        <w:t xml:space="preserve">FSANZ acknowledges the time taken by individuals and organisations to make submissions </w:t>
      </w:r>
      <w:r>
        <w:rPr>
          <w:szCs w:val="22"/>
        </w:rPr>
        <w:t>on this a</w:t>
      </w:r>
      <w:r w:rsidRPr="00183B79">
        <w:rPr>
          <w:szCs w:val="22"/>
        </w:rPr>
        <w:t xml:space="preserve">pplication. </w:t>
      </w:r>
      <w:r>
        <w:rPr>
          <w:szCs w:val="22"/>
        </w:rPr>
        <w:t>Every submission on this a</w:t>
      </w:r>
      <w:r w:rsidRPr="00756A52">
        <w:rPr>
          <w:szCs w:val="22"/>
        </w:rPr>
        <w:t xml:space="preserve">pplication was considered by FSANZ. All comments are valued and contribute to the rigour of </w:t>
      </w:r>
      <w:r w:rsidR="00DB65E6">
        <w:rPr>
          <w:szCs w:val="22"/>
        </w:rPr>
        <w:t>FSANZ’s</w:t>
      </w:r>
      <w:r w:rsidRPr="00756A52">
        <w:rPr>
          <w:szCs w:val="22"/>
        </w:rPr>
        <w:t xml:space="preserve"> assessment.</w:t>
      </w:r>
    </w:p>
    <w:p w14:paraId="150DBB9D" w14:textId="23821100" w:rsidR="00520953" w:rsidRDefault="00520953" w:rsidP="00520953">
      <w:pPr>
        <w:rPr>
          <w:lang w:bidi="ar-SA"/>
        </w:rPr>
      </w:pPr>
      <w:bookmarkStart w:id="75" w:name="_Toc370225391"/>
      <w:bookmarkStart w:id="76" w:name="_Toc175381455"/>
      <w:bookmarkEnd w:id="36"/>
      <w:bookmarkEnd w:id="37"/>
      <w:bookmarkEnd w:id="38"/>
      <w:bookmarkEnd w:id="39"/>
      <w:bookmarkEnd w:id="40"/>
      <w:bookmarkEnd w:id="41"/>
      <w:bookmarkEnd w:id="68"/>
      <w:r w:rsidRPr="00756A52">
        <w:rPr>
          <w:lang w:bidi="ar-SA"/>
        </w:rPr>
        <w:t xml:space="preserve">Documents relating to Application </w:t>
      </w:r>
      <w:r>
        <w:rPr>
          <w:lang w:bidi="ar-SA"/>
        </w:rPr>
        <w:t>A1216</w:t>
      </w:r>
      <w:r w:rsidRPr="00756A52">
        <w:rPr>
          <w:lang w:bidi="ar-SA"/>
        </w:rPr>
        <w:t xml:space="preserve">, including submissions received, are available on the </w:t>
      </w:r>
      <w:hyperlink r:id="rId21" w:history="1">
        <w:r w:rsidRPr="001924DD">
          <w:rPr>
            <w:rStyle w:val="Hyperlink"/>
            <w:szCs w:val="22"/>
          </w:rPr>
          <w:t>FSANZ website</w:t>
        </w:r>
      </w:hyperlink>
      <w:r w:rsidR="001924DD">
        <w:rPr>
          <w:rStyle w:val="FootnoteReference"/>
          <w:szCs w:val="22"/>
        </w:rPr>
        <w:footnoteReference w:id="10"/>
      </w:r>
      <w:r w:rsidRPr="00756A52">
        <w:rPr>
          <w:lang w:bidi="ar-SA"/>
        </w:rPr>
        <w:t>.</w:t>
      </w:r>
    </w:p>
    <w:p w14:paraId="3A01303C" w14:textId="77777777" w:rsidR="002C1A3B" w:rsidRPr="00C264B3" w:rsidRDefault="002C1A3B" w:rsidP="002C1A3B">
      <w:pPr>
        <w:pStyle w:val="Heading3"/>
      </w:pPr>
      <w:bookmarkStart w:id="77" w:name="_Toc65164409"/>
      <w:r w:rsidRPr="00C264B3">
        <w:t>2.4.2</w:t>
      </w:r>
      <w:r w:rsidRPr="00C264B3">
        <w:tab/>
        <w:t>World Trade Organization (WTO)</w:t>
      </w:r>
      <w:bookmarkEnd w:id="75"/>
      <w:bookmarkEnd w:id="77"/>
    </w:p>
    <w:p w14:paraId="14C224CB" w14:textId="77777777" w:rsidR="00C264B3" w:rsidRPr="00D50080" w:rsidRDefault="00C264B3" w:rsidP="00C264B3">
      <w:pPr>
        <w:rPr>
          <w:rFonts w:cs="Arial"/>
          <w:color w:val="000000" w:themeColor="text1"/>
        </w:rPr>
      </w:pPr>
      <w:bookmarkStart w:id="78" w:name="_Toc370223477"/>
      <w:bookmarkStart w:id="79" w:name="_Toc370225392"/>
      <w:bookmarkStart w:id="80" w:name="_Toc309291816"/>
      <w:bookmarkStart w:id="81" w:name="_Toc300933448"/>
      <w:bookmarkStart w:id="82" w:name="_Toc300933577"/>
      <w:bookmarkStart w:id="83" w:name="_Toc301535601"/>
      <w:bookmarkStart w:id="84" w:name="_Toc309385464"/>
      <w:bookmarkStart w:id="85" w:name="_Toc175381456"/>
      <w:bookmarkEnd w:id="76"/>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770A4E7E" w14:textId="77777777" w:rsidR="00C264B3" w:rsidRPr="00D50080" w:rsidRDefault="00C264B3" w:rsidP="00C264B3">
      <w:pPr>
        <w:rPr>
          <w:color w:val="000000" w:themeColor="text1"/>
          <w:highlight w:val="yellow"/>
        </w:rPr>
      </w:pPr>
    </w:p>
    <w:p w14:paraId="6172344D" w14:textId="39300B5D" w:rsidR="00C264B3" w:rsidRPr="004F6A07" w:rsidRDefault="00C264B3" w:rsidP="00C264B3">
      <w:pPr>
        <w:rPr>
          <w:noProof/>
          <w:color w:val="FF0000"/>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 xml:space="preserve">canola line MON94100 </w:t>
      </w:r>
      <w:r w:rsidRPr="00D50080">
        <w:rPr>
          <w:rFonts w:cs="Arial"/>
          <w:color w:val="000000" w:themeColor="text1"/>
        </w:rPr>
        <w:t xml:space="preserve">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p>
    <w:p w14:paraId="59AF1614" w14:textId="740832A7" w:rsidR="002C1A3B" w:rsidRDefault="002C1A3B" w:rsidP="002C1A3B">
      <w:pPr>
        <w:pStyle w:val="Heading2"/>
      </w:pPr>
      <w:bookmarkStart w:id="86" w:name="_Toc65164410"/>
      <w:r w:rsidRPr="002C1A3B">
        <w:t>2.5</w:t>
      </w:r>
      <w:r w:rsidRPr="002C1A3B">
        <w:tab/>
        <w:t>FSANZ Act assessment requirements</w:t>
      </w:r>
      <w:bookmarkEnd w:id="78"/>
      <w:bookmarkEnd w:id="79"/>
      <w:bookmarkEnd w:id="86"/>
    </w:p>
    <w:p w14:paraId="0E20E673" w14:textId="77777777" w:rsidR="00374825" w:rsidRPr="00874567" w:rsidRDefault="00374825" w:rsidP="00374825">
      <w:pPr>
        <w:spacing w:after="240"/>
      </w:pPr>
      <w:r w:rsidRPr="00874567">
        <w:t xml:space="preserve">When assessing this </w:t>
      </w:r>
      <w:r>
        <w:t>a</w:t>
      </w:r>
      <w:r w:rsidRPr="00874567">
        <w:t>pplication and the subsequent development of a food regulatory measure, FSANZ has had regard to the following matters in section 29 of the FSANZ Act.</w:t>
      </w:r>
    </w:p>
    <w:p w14:paraId="2CEED8AE" w14:textId="7309B74F" w:rsidR="002C1A3B" w:rsidRPr="002C1A3B" w:rsidRDefault="002C1A3B" w:rsidP="002C1A3B">
      <w:pPr>
        <w:pStyle w:val="Heading3"/>
      </w:pPr>
      <w:bookmarkStart w:id="87" w:name="_Toc370223478"/>
      <w:bookmarkStart w:id="88" w:name="_Toc370225393"/>
      <w:bookmarkStart w:id="89" w:name="_Toc65164411"/>
      <w:bookmarkEnd w:id="80"/>
      <w:bookmarkEnd w:id="81"/>
      <w:bookmarkEnd w:id="82"/>
      <w:bookmarkEnd w:id="83"/>
      <w:bookmarkEnd w:id="84"/>
      <w:r w:rsidRPr="002C1A3B">
        <w:t>2.5.1</w:t>
      </w:r>
      <w:r w:rsidRPr="002C1A3B">
        <w:tab/>
        <w:t xml:space="preserve">Section </w:t>
      </w:r>
      <w:r w:rsidRPr="00C264B3">
        <w:t>29</w:t>
      </w:r>
      <w:bookmarkEnd w:id="87"/>
      <w:bookmarkEnd w:id="88"/>
      <w:bookmarkEnd w:id="89"/>
    </w:p>
    <w:p w14:paraId="61FB55C3"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891C564" w14:textId="77777777" w:rsidR="00374825" w:rsidRPr="00B35052" w:rsidRDefault="00374825" w:rsidP="00374825">
      <w:pPr>
        <w:rPr>
          <w:rFonts w:cs="Calibri"/>
          <w:lang w:val="en-AU"/>
        </w:rPr>
      </w:pPr>
      <w:r w:rsidRPr="003E03C8">
        <w:t xml:space="preserve">The Office of Best Practice Regulation (OBPR) granted FSANZ a standing exemption from the requirement to develop a Regulatory Impact Statement for permitting </w:t>
      </w:r>
      <w:r>
        <w:t xml:space="preserve">new GM </w:t>
      </w:r>
      <w:r w:rsidRPr="003E03C8">
        <w:t xml:space="preserve">foods </w:t>
      </w:r>
      <w:r w:rsidRPr="003E03C8">
        <w:rPr>
          <w:lang w:val="en-AU"/>
        </w:rPr>
        <w:t>(</w:t>
      </w:r>
      <w:r w:rsidRPr="003E03C8">
        <w:t>OBPR correspondence dated 24 November 2010, reference 12065</w:t>
      </w:r>
      <w:r w:rsidRPr="003E03C8">
        <w:rPr>
          <w:lang w:val="en-AU"/>
        </w:rPr>
        <w:t>). </w:t>
      </w:r>
      <w:r w:rsidRPr="00983D78">
        <w:t xml:space="preserve">This standing exemption was provided as varying Schedule 26 is a consequential change of maintaining a permitted schedule of GM foods. Additionally, permitting </w:t>
      </w:r>
      <w:r>
        <w:t xml:space="preserve">a </w:t>
      </w:r>
      <w:r w:rsidRPr="00983D78">
        <w:t xml:space="preserve">new GM food is deregulatory as using the </w:t>
      </w:r>
      <w:r>
        <w:t>gene</w:t>
      </w:r>
      <w:r w:rsidRPr="00983D78">
        <w:t xml:space="preserve"> technology will be voluntary if the </w:t>
      </w:r>
      <w:r>
        <w:t>a</w:t>
      </w:r>
      <w:r w:rsidRPr="00983D78">
        <w:t>pplication</w:t>
      </w:r>
      <w:r>
        <w:t xml:space="preserve"> concerned</w:t>
      </w:r>
      <w:r w:rsidRPr="00983D78">
        <w:t xml:space="preserve"> is approved. </w:t>
      </w:r>
      <w:r w:rsidRPr="003E03C8">
        <w:rPr>
          <w:lang w:bidi="ar-SA"/>
        </w:rPr>
        <w:t>This standing exemption relates to the introduction of a food to the food supply that has been determined to be safe.</w:t>
      </w:r>
      <w:r w:rsidRPr="00F9067B">
        <w:rPr>
          <w:lang w:bidi="ar-SA"/>
        </w:rPr>
        <w:t xml:space="preserve"> </w:t>
      </w:r>
    </w:p>
    <w:p w14:paraId="6B4E849D" w14:textId="77777777" w:rsidR="00374825" w:rsidRDefault="00374825" w:rsidP="00374825">
      <w:pPr>
        <w:rPr>
          <w:lang w:val="en-AU"/>
        </w:rPr>
      </w:pPr>
    </w:p>
    <w:p w14:paraId="3E425B78" w14:textId="77777777" w:rsidR="00374825" w:rsidRDefault="00374825" w:rsidP="00374825">
      <w:pPr>
        <w:rPr>
          <w:lang w:val="en-AU"/>
        </w:rPr>
      </w:pPr>
      <w:r>
        <w:rPr>
          <w:lang w:val="en-AU"/>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2BBDBBF" w14:textId="77777777" w:rsidR="00374825" w:rsidRDefault="00374825" w:rsidP="00374825">
      <w:pPr>
        <w:rPr>
          <w:lang w:val="en-AU"/>
        </w:rPr>
      </w:pPr>
    </w:p>
    <w:p w14:paraId="4BE9D6FF" w14:textId="50B3A9F2" w:rsidR="00374825" w:rsidRDefault="00374825" w:rsidP="00C26B8F">
      <w:pPr>
        <w:rPr>
          <w:lang w:val="en-AU"/>
        </w:rPr>
      </w:pPr>
      <w:r>
        <w:rPr>
          <w:lang w:val="en-AU"/>
        </w:rPr>
        <w:t xml:space="preserve">The purpose of this consideration is to determine if the community, government, and industry as a whole is likely to benefit, on balance, from a move from the status quo (where the status quo is rejecting the application). </w:t>
      </w:r>
      <w:r w:rsidRPr="00983D78">
        <w:rPr>
          <w:szCs w:val="22"/>
        </w:rPr>
        <w:t xml:space="preserve">This analysis considers permitting the sale and use of food derived from </w:t>
      </w:r>
      <w:r w:rsidRPr="00441B7F">
        <w:t>canola line MON94100</w:t>
      </w:r>
      <w:r w:rsidRPr="00983D78">
        <w:rPr>
          <w:szCs w:val="22"/>
        </w:rPr>
        <w:t>.</w:t>
      </w:r>
      <w:r w:rsidRPr="00441B7F">
        <w:rPr>
          <w:color w:val="FF0000"/>
        </w:rPr>
        <w:t xml:space="preserve"> </w:t>
      </w:r>
      <w:r w:rsidR="00C26B8F" w:rsidRPr="007930E7">
        <w:t>A consideration of costs and benefits was included in the call for submissions (CFS) report based on the information and data held at that time. No further information has been received in the consultation process that influenced the findings from the analysis of costs and benefits in the CFS.</w:t>
      </w:r>
    </w:p>
    <w:p w14:paraId="64E9DFB5" w14:textId="77777777" w:rsidR="00374825" w:rsidRDefault="00374825" w:rsidP="00374825">
      <w:pPr>
        <w:rPr>
          <w:lang w:val="en-AU"/>
        </w:rPr>
      </w:pPr>
    </w:p>
    <w:p w14:paraId="7B38123E" w14:textId="77777777" w:rsidR="00374825" w:rsidRDefault="00374825" w:rsidP="00374825">
      <w:pPr>
        <w:spacing w:after="240"/>
        <w:rPr>
          <w:lang w:val="en-AU"/>
        </w:rPr>
      </w:pPr>
      <w:r>
        <w:rPr>
          <w:lang w:val="en-AU"/>
        </w:rPr>
        <w:t xml:space="preserve">The consideration of the costs and benefits in this section is not intended to be an exhaustive, quantitative economic analysis of the proposed measures. In fact, most of the effects that were considered cannot easily be assigned a dollar value. </w:t>
      </w:r>
      <w:r w:rsidRPr="00983D78">
        <w:rPr>
          <w:szCs w:val="22"/>
        </w:rPr>
        <w:t xml:space="preserve">Rather, the assessment seeks to highlight the likely positives and negatives of moving away from the status quo by permitting the sale and use of food derived from </w:t>
      </w:r>
      <w:r w:rsidRPr="00441B7F">
        <w:t>canola line MON94100</w:t>
      </w:r>
      <w:r w:rsidRPr="00983D78">
        <w:rPr>
          <w:szCs w:val="22"/>
        </w:rPr>
        <w:t xml:space="preserve">. </w:t>
      </w:r>
    </w:p>
    <w:p w14:paraId="3120DF84" w14:textId="77777777" w:rsidR="00374825" w:rsidRDefault="00374825" w:rsidP="00374825">
      <w:pPr>
        <w:spacing w:after="240"/>
        <w:rPr>
          <w:lang w:val="en-AU"/>
        </w:rPr>
      </w:pPr>
      <w:r>
        <w:rPr>
          <w:i/>
          <w:iCs/>
          <w:lang w:val="en-AU"/>
        </w:rPr>
        <w:lastRenderedPageBreak/>
        <w:t xml:space="preserve">Costs and benefits of permitting </w:t>
      </w:r>
      <w:r w:rsidRPr="00271E58">
        <w:rPr>
          <w:i/>
          <w:iCs/>
        </w:rPr>
        <w:t xml:space="preserve">the sale and use of food derived from </w:t>
      </w:r>
      <w:r w:rsidRPr="0011659A">
        <w:rPr>
          <w:i/>
          <w:iCs/>
        </w:rPr>
        <w:t xml:space="preserve">canola line </w:t>
      </w:r>
      <w:r w:rsidRPr="00271E58">
        <w:rPr>
          <w:i/>
          <w:iCs/>
        </w:rPr>
        <w:t>MON94100</w:t>
      </w:r>
    </w:p>
    <w:p w14:paraId="552BA2B1" w14:textId="77777777" w:rsidR="00374825" w:rsidRPr="00983D78" w:rsidRDefault="00374825" w:rsidP="00374825">
      <w:pPr>
        <w:spacing w:after="240"/>
        <w:rPr>
          <w:szCs w:val="22"/>
        </w:rPr>
      </w:pPr>
      <w:r w:rsidRPr="00983D78">
        <w:rPr>
          <w:szCs w:val="22"/>
        </w:rPr>
        <w:t>The sale of foods</w:t>
      </w:r>
      <w:r w:rsidRPr="00983D78" w:rsidDel="006158E7">
        <w:rPr>
          <w:szCs w:val="22"/>
        </w:rPr>
        <w:t xml:space="preserve"> </w:t>
      </w:r>
      <w:r w:rsidRPr="00983D78">
        <w:rPr>
          <w:szCs w:val="22"/>
        </w:rPr>
        <w:t xml:space="preserve">derived from </w:t>
      </w:r>
      <w:r w:rsidRPr="00441B7F">
        <w:t>canola line MON94100</w:t>
      </w:r>
      <w:r>
        <w:t xml:space="preserve"> </w:t>
      </w:r>
      <w:r w:rsidRPr="00983D78">
        <w:rPr>
          <w:szCs w:val="22"/>
        </w:rPr>
        <w:t xml:space="preserve">would be permitted under the Code, allowing broader market access and increased choice in raw materials. For those food products containing novel DNA or novel protein from </w:t>
      </w:r>
      <w:r w:rsidRPr="00441B7F">
        <w:t>MON94100</w:t>
      </w:r>
      <w:r w:rsidRPr="00983D78">
        <w:rPr>
          <w:szCs w:val="22"/>
        </w:rPr>
        <w:t>, labelling is required to assist consumers wishing to avoid these products to do so.</w:t>
      </w:r>
    </w:p>
    <w:p w14:paraId="060D550B" w14:textId="77777777" w:rsidR="00374825" w:rsidRPr="00983D78" w:rsidRDefault="00374825" w:rsidP="00374825">
      <w:pPr>
        <w:spacing w:after="240"/>
        <w:rPr>
          <w:szCs w:val="22"/>
        </w:rPr>
      </w:pPr>
      <w:r w:rsidRPr="00983D78">
        <w:rPr>
          <w:szCs w:val="22"/>
        </w:rPr>
        <w:t xml:space="preserve">Due to the voluntary nature of the permission, manufacturers and retailers would only engage with foods derived from </w:t>
      </w:r>
      <w:r w:rsidRPr="00441B7F">
        <w:t>canola line MON94100</w:t>
      </w:r>
      <w:r w:rsidRPr="00983D78">
        <w:rPr>
          <w:szCs w:val="22"/>
        </w:rPr>
        <w:t>, where they believe a net benefit exists for them. Part of any cost savings to industry may be passed onto consumers.</w:t>
      </w:r>
    </w:p>
    <w:p w14:paraId="48843A52" w14:textId="77777777" w:rsidR="00374825" w:rsidRPr="00983D78" w:rsidRDefault="00374825" w:rsidP="00374825">
      <w:pPr>
        <w:spacing w:after="240"/>
        <w:rPr>
          <w:szCs w:val="22"/>
        </w:rPr>
      </w:pPr>
      <w:r w:rsidRPr="00983D78">
        <w:t>There may be small and likely inconsequential costs of monitoring an extra GM food ingredient for regulators to ensure compliance with labelling requirements.</w:t>
      </w:r>
    </w:p>
    <w:p w14:paraId="13BE45E4" w14:textId="77777777" w:rsidR="00374825" w:rsidRDefault="00374825" w:rsidP="00374825">
      <w:pPr>
        <w:pStyle w:val="FSFigureTitle"/>
        <w:spacing w:after="240"/>
      </w:pPr>
      <w:r>
        <w:t>Conclusions from cost benefit considerations</w:t>
      </w:r>
    </w:p>
    <w:p w14:paraId="058BF71A" w14:textId="77777777" w:rsidR="00374825" w:rsidRPr="00014561" w:rsidRDefault="00374825" w:rsidP="00374825">
      <w:r w:rsidRPr="00983D78">
        <w:t xml:space="preserve">FSANZ’s assessment is that the direct and indirect benefits that would arise from permitting </w:t>
      </w:r>
      <w:r w:rsidRPr="00983D78">
        <w:rPr>
          <w:szCs w:val="22"/>
        </w:rPr>
        <w:t xml:space="preserve">the sale and use of food derived from </w:t>
      </w:r>
      <w:r w:rsidRPr="00441B7F">
        <w:t>canola line MON94100</w:t>
      </w:r>
      <w:r w:rsidRPr="00983D78">
        <w:rPr>
          <w:szCs w:val="22"/>
        </w:rPr>
        <w:t xml:space="preserve">, </w:t>
      </w:r>
      <w:r w:rsidRPr="00983D78">
        <w:t>most likely outweigh the associated costs.</w:t>
      </w:r>
    </w:p>
    <w:p w14:paraId="5C2E810A" w14:textId="77777777" w:rsidR="002C1A3B" w:rsidRPr="002C1A3B" w:rsidRDefault="002C1A3B" w:rsidP="002C1A3B">
      <w:pPr>
        <w:pStyle w:val="Heading4"/>
      </w:pPr>
      <w:r w:rsidRPr="002C1A3B">
        <w:t>2.5.1.2</w:t>
      </w:r>
      <w:r w:rsidRPr="002C1A3B">
        <w:tab/>
        <w:t>Other measures</w:t>
      </w:r>
    </w:p>
    <w:p w14:paraId="767ECCD8" w14:textId="77777777" w:rsidR="00B72A0D" w:rsidRPr="002030BF" w:rsidRDefault="00B72A0D" w:rsidP="00B72A0D">
      <w:pPr>
        <w:spacing w:after="240"/>
      </w:pPr>
      <w:r w:rsidRPr="002030BF">
        <w:t>There are no other measures (whether available to FSANZ or not) that would be more cost-effective than varying Schedule 26 as a result of application A1216.</w:t>
      </w:r>
    </w:p>
    <w:p w14:paraId="0529132F" w14:textId="77777777" w:rsidR="002C1A3B" w:rsidRPr="002C1A3B" w:rsidRDefault="002C1A3B" w:rsidP="002C1A3B">
      <w:pPr>
        <w:pStyle w:val="Heading4"/>
      </w:pPr>
      <w:r w:rsidRPr="002C1A3B">
        <w:t>2.5.1.3</w:t>
      </w:r>
      <w:r w:rsidRPr="002C1A3B">
        <w:tab/>
        <w:t>Any relevant New Zealand standards</w:t>
      </w:r>
    </w:p>
    <w:p w14:paraId="43C502D5" w14:textId="293577FD" w:rsidR="00B72A0D" w:rsidRPr="008D4985" w:rsidRDefault="00086129" w:rsidP="00B72A0D">
      <w:pPr>
        <w:spacing w:after="240"/>
        <w:rPr>
          <w:lang w:bidi="ar-SA"/>
        </w:rPr>
      </w:pPr>
      <w:r>
        <w:rPr>
          <w:lang w:bidi="ar-SA"/>
        </w:rPr>
        <w:t>The relevant standards</w:t>
      </w:r>
      <w:r w:rsidR="00B72A0D" w:rsidRPr="008D4985">
        <w:rPr>
          <w:lang w:bidi="ar-SA"/>
        </w:rPr>
        <w:t xml:space="preserve"> apply in both Australia and New Zealand. There are no relevant New Zealand only Standards.</w:t>
      </w:r>
    </w:p>
    <w:p w14:paraId="6E66D145" w14:textId="77777777" w:rsidR="002C1A3B" w:rsidRPr="002C1A3B" w:rsidRDefault="002C1A3B" w:rsidP="002C1A3B">
      <w:pPr>
        <w:pStyle w:val="Heading4"/>
      </w:pPr>
      <w:r w:rsidRPr="002C1A3B">
        <w:t>2.5.1.4</w:t>
      </w:r>
      <w:r w:rsidRPr="002C1A3B">
        <w:tab/>
        <w:t>Any other relevant matters</w:t>
      </w:r>
    </w:p>
    <w:p w14:paraId="3592EC79" w14:textId="77777777" w:rsidR="00B72A0D" w:rsidRPr="00874567" w:rsidRDefault="00B72A0D" w:rsidP="00B72A0D">
      <w:pPr>
        <w:spacing w:after="240"/>
      </w:pPr>
      <w:bookmarkStart w:id="90" w:name="_Toc370223479"/>
      <w:bookmarkStart w:id="91" w:name="_Toc370225394"/>
      <w:bookmarkStart w:id="92" w:name="_Toc300761897"/>
      <w:bookmarkStart w:id="93" w:name="_Toc300933440"/>
      <w:r w:rsidRPr="00874567">
        <w:t xml:space="preserve">The </w:t>
      </w:r>
      <w:r>
        <w:t>applicant</w:t>
      </w:r>
      <w:r w:rsidRPr="00874567">
        <w:t xml:space="preserve"> has submitted </w:t>
      </w:r>
      <w:r>
        <w:t>a</w:t>
      </w:r>
      <w:r w:rsidRPr="00874567">
        <w:t xml:space="preserve">pplications for regulatory approval of </w:t>
      </w:r>
      <w:r>
        <w:t>canola line MON94100 to</w:t>
      </w:r>
      <w:r w:rsidRPr="00874567">
        <w:t xml:space="preserve"> other countries, as listed in Table 1.</w:t>
      </w:r>
    </w:p>
    <w:p w14:paraId="6086B060" w14:textId="77777777" w:rsidR="00B72A0D" w:rsidRPr="00514644" w:rsidRDefault="00B72A0D" w:rsidP="00B72A0D">
      <w:pPr>
        <w:spacing w:after="240"/>
      </w:pPr>
      <w:r w:rsidRPr="00514644">
        <w:t>Cultivation in Australia or New Zealand would require independent assessment and approval by the Gene Technology Regulator and NZ EPA, respectively.</w:t>
      </w:r>
    </w:p>
    <w:p w14:paraId="2A294B96" w14:textId="77777777" w:rsidR="00B72A0D" w:rsidRPr="00D733E1" w:rsidRDefault="00B72A0D" w:rsidP="00B72A0D">
      <w:pPr>
        <w:rPr>
          <w:b/>
          <w:bCs/>
          <w:lang w:val="en-AU"/>
        </w:rPr>
      </w:pPr>
      <w:r w:rsidRPr="00D733E1">
        <w:rPr>
          <w:b/>
          <w:bCs/>
          <w:lang w:val="en-AU"/>
        </w:rPr>
        <w:t xml:space="preserve">Table 1: List of countries to whom </w:t>
      </w:r>
      <w:r>
        <w:rPr>
          <w:b/>
          <w:bCs/>
          <w:lang w:val="en-AU"/>
        </w:rPr>
        <w:t>a</w:t>
      </w:r>
      <w:r w:rsidRPr="00D733E1">
        <w:rPr>
          <w:b/>
          <w:bCs/>
          <w:lang w:val="en-AU"/>
        </w:rPr>
        <w:t xml:space="preserve">pplications for regulatory approval of </w:t>
      </w:r>
      <w:r>
        <w:rPr>
          <w:b/>
          <w:bCs/>
          <w:lang w:val="en-AU"/>
        </w:rPr>
        <w:t>MON94100</w:t>
      </w:r>
      <w:r w:rsidRPr="00D733E1">
        <w:rPr>
          <w:b/>
          <w:bCs/>
          <w:lang w:val="en-AU"/>
        </w:rPr>
        <w:t xml:space="preserve">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DP23211 have been submitted"/>
      </w:tblPr>
      <w:tblGrid>
        <w:gridCol w:w="1715"/>
        <w:gridCol w:w="1652"/>
        <w:gridCol w:w="2330"/>
        <w:gridCol w:w="3262"/>
      </w:tblGrid>
      <w:tr w:rsidR="00B72A0D" w14:paraId="02466BE1" w14:textId="77777777" w:rsidTr="00517375">
        <w:trPr>
          <w:trHeight w:val="699"/>
          <w:tblHeader/>
        </w:trPr>
        <w:tc>
          <w:tcPr>
            <w:tcW w:w="1715" w:type="dxa"/>
            <w:shd w:val="clear" w:color="auto" w:fill="9BBB59" w:themeFill="accent3"/>
            <w:vAlign w:val="center"/>
          </w:tcPr>
          <w:p w14:paraId="0D4584E0" w14:textId="77777777" w:rsidR="00B72A0D" w:rsidRPr="00C31EA5" w:rsidRDefault="00B72A0D" w:rsidP="00517375">
            <w:pPr>
              <w:pStyle w:val="FSTableHeading"/>
            </w:pPr>
            <w:r w:rsidRPr="00C31EA5">
              <w:t>Country</w:t>
            </w:r>
          </w:p>
        </w:tc>
        <w:tc>
          <w:tcPr>
            <w:tcW w:w="1652" w:type="dxa"/>
            <w:shd w:val="clear" w:color="auto" w:fill="9BBB59" w:themeFill="accent3"/>
            <w:vAlign w:val="center"/>
          </w:tcPr>
          <w:p w14:paraId="3F072E83" w14:textId="77777777" w:rsidR="00B72A0D" w:rsidRPr="00C31EA5" w:rsidRDefault="00B72A0D" w:rsidP="00517375">
            <w:pPr>
              <w:pStyle w:val="FSTableHeading"/>
            </w:pPr>
            <w:r w:rsidRPr="00C31EA5">
              <w:t>Agency</w:t>
            </w:r>
          </w:p>
        </w:tc>
        <w:tc>
          <w:tcPr>
            <w:tcW w:w="2330" w:type="dxa"/>
            <w:shd w:val="clear" w:color="auto" w:fill="9BBB59" w:themeFill="accent3"/>
            <w:vAlign w:val="center"/>
          </w:tcPr>
          <w:p w14:paraId="119026B8" w14:textId="77777777" w:rsidR="00B72A0D" w:rsidRPr="00C31EA5" w:rsidRDefault="00B72A0D" w:rsidP="00517375">
            <w:pPr>
              <w:pStyle w:val="FSTableHeading"/>
            </w:pPr>
            <w:r w:rsidRPr="00C31EA5">
              <w:rPr>
                <w:bCs/>
              </w:rPr>
              <w:t>Type of approval sought</w:t>
            </w:r>
          </w:p>
        </w:tc>
        <w:tc>
          <w:tcPr>
            <w:tcW w:w="3262" w:type="dxa"/>
            <w:shd w:val="clear" w:color="auto" w:fill="9BBB59" w:themeFill="accent3"/>
            <w:vAlign w:val="center"/>
          </w:tcPr>
          <w:p w14:paraId="622A0D20" w14:textId="77777777" w:rsidR="00B72A0D" w:rsidRPr="00C31EA5" w:rsidRDefault="00B72A0D" w:rsidP="00517375">
            <w:pPr>
              <w:pStyle w:val="FSTableHeading"/>
            </w:pPr>
            <w:r w:rsidRPr="00C31EA5">
              <w:t>Status</w:t>
            </w:r>
          </w:p>
        </w:tc>
      </w:tr>
      <w:tr w:rsidR="00B72A0D" w14:paraId="6FBA5199" w14:textId="77777777" w:rsidTr="00517375">
        <w:trPr>
          <w:trHeight w:val="416"/>
        </w:trPr>
        <w:tc>
          <w:tcPr>
            <w:tcW w:w="1715" w:type="dxa"/>
            <w:vMerge w:val="restart"/>
            <w:vAlign w:val="center"/>
          </w:tcPr>
          <w:p w14:paraId="62A555C0" w14:textId="77777777" w:rsidR="00B72A0D" w:rsidRPr="00120601" w:rsidRDefault="00B72A0D" w:rsidP="00517375">
            <w:pPr>
              <w:pStyle w:val="FSTableText"/>
              <w:jc w:val="center"/>
              <w:rPr>
                <w:sz w:val="16"/>
              </w:rPr>
            </w:pPr>
            <w:r>
              <w:rPr>
                <w:sz w:val="16"/>
              </w:rPr>
              <w:t>Canada</w:t>
            </w:r>
          </w:p>
        </w:tc>
        <w:tc>
          <w:tcPr>
            <w:tcW w:w="1652" w:type="dxa"/>
            <w:vAlign w:val="center"/>
          </w:tcPr>
          <w:p w14:paraId="7BD79DBC" w14:textId="77777777" w:rsidR="00B72A0D" w:rsidRPr="00120601" w:rsidRDefault="00B72A0D" w:rsidP="00517375">
            <w:pPr>
              <w:pStyle w:val="FSTableText"/>
              <w:jc w:val="center"/>
              <w:rPr>
                <w:sz w:val="16"/>
              </w:rPr>
            </w:pPr>
            <w:r>
              <w:rPr>
                <w:sz w:val="16"/>
              </w:rPr>
              <w:t>CFIA</w:t>
            </w:r>
          </w:p>
        </w:tc>
        <w:tc>
          <w:tcPr>
            <w:tcW w:w="2330" w:type="dxa"/>
            <w:vAlign w:val="center"/>
          </w:tcPr>
          <w:p w14:paraId="19CB373A" w14:textId="77777777" w:rsidR="00B72A0D" w:rsidRPr="00120601" w:rsidRDefault="00B72A0D" w:rsidP="00517375">
            <w:pPr>
              <w:pStyle w:val="FSTableText"/>
              <w:jc w:val="center"/>
              <w:rPr>
                <w:sz w:val="16"/>
              </w:rPr>
            </w:pPr>
            <w:r>
              <w:rPr>
                <w:sz w:val="16"/>
              </w:rPr>
              <w:t>Environmental release &amp; feed</w:t>
            </w:r>
          </w:p>
        </w:tc>
        <w:tc>
          <w:tcPr>
            <w:tcW w:w="3262" w:type="dxa"/>
            <w:vAlign w:val="center"/>
          </w:tcPr>
          <w:p w14:paraId="24125E59" w14:textId="63FA35A9" w:rsidR="00B72A0D" w:rsidRPr="00C31EA5" w:rsidRDefault="00405480" w:rsidP="00517375">
            <w:pPr>
              <w:pStyle w:val="FSTableText"/>
              <w:jc w:val="center"/>
              <w:rPr>
                <w:sz w:val="16"/>
              </w:rPr>
            </w:pPr>
            <w:r>
              <w:rPr>
                <w:sz w:val="16"/>
              </w:rPr>
              <w:t>Approved</w:t>
            </w:r>
          </w:p>
        </w:tc>
      </w:tr>
      <w:tr w:rsidR="00B72A0D" w14:paraId="24FC761D" w14:textId="77777777" w:rsidTr="00517375">
        <w:trPr>
          <w:trHeight w:val="416"/>
        </w:trPr>
        <w:tc>
          <w:tcPr>
            <w:tcW w:w="1715" w:type="dxa"/>
            <w:vMerge/>
            <w:vAlign w:val="center"/>
          </w:tcPr>
          <w:p w14:paraId="59D94F8B" w14:textId="77777777" w:rsidR="00B72A0D" w:rsidRDefault="00B72A0D" w:rsidP="00517375">
            <w:pPr>
              <w:pStyle w:val="FSTableText"/>
              <w:jc w:val="center"/>
              <w:rPr>
                <w:sz w:val="16"/>
              </w:rPr>
            </w:pPr>
          </w:p>
        </w:tc>
        <w:tc>
          <w:tcPr>
            <w:tcW w:w="1652" w:type="dxa"/>
            <w:vAlign w:val="center"/>
          </w:tcPr>
          <w:p w14:paraId="00CD762B" w14:textId="77777777" w:rsidR="00B72A0D" w:rsidRDefault="00B72A0D" w:rsidP="00517375">
            <w:pPr>
              <w:pStyle w:val="FSTableText"/>
              <w:jc w:val="center"/>
              <w:rPr>
                <w:sz w:val="16"/>
              </w:rPr>
            </w:pPr>
            <w:r>
              <w:rPr>
                <w:sz w:val="16"/>
              </w:rPr>
              <w:t>Health Canada</w:t>
            </w:r>
          </w:p>
        </w:tc>
        <w:tc>
          <w:tcPr>
            <w:tcW w:w="2330" w:type="dxa"/>
            <w:vAlign w:val="center"/>
          </w:tcPr>
          <w:p w14:paraId="653B0DF6" w14:textId="77777777" w:rsidR="00B72A0D" w:rsidRPr="00120601" w:rsidRDefault="00B72A0D" w:rsidP="00517375">
            <w:pPr>
              <w:pStyle w:val="FSTableText"/>
              <w:jc w:val="center"/>
              <w:rPr>
                <w:sz w:val="16"/>
              </w:rPr>
            </w:pPr>
            <w:r>
              <w:rPr>
                <w:sz w:val="16"/>
              </w:rPr>
              <w:t>Food</w:t>
            </w:r>
          </w:p>
        </w:tc>
        <w:tc>
          <w:tcPr>
            <w:tcW w:w="3262" w:type="dxa"/>
            <w:vAlign w:val="center"/>
          </w:tcPr>
          <w:p w14:paraId="25937501" w14:textId="3760C6BF" w:rsidR="00B72A0D" w:rsidRPr="00C31EA5" w:rsidRDefault="00405480" w:rsidP="00517375">
            <w:pPr>
              <w:pStyle w:val="FSTableText"/>
              <w:jc w:val="center"/>
              <w:rPr>
                <w:sz w:val="16"/>
              </w:rPr>
            </w:pPr>
            <w:r>
              <w:rPr>
                <w:sz w:val="16"/>
              </w:rPr>
              <w:t>Approved</w:t>
            </w:r>
          </w:p>
        </w:tc>
      </w:tr>
    </w:tbl>
    <w:p w14:paraId="05F5EBF2" w14:textId="27138348" w:rsidR="004520B0" w:rsidRDefault="00DC4182" w:rsidP="004520B0">
      <w:pPr>
        <w:spacing w:before="240"/>
        <w:rPr>
          <w:lang w:eastAsia="en-AU" w:bidi="ar-SA"/>
        </w:rPr>
      </w:pPr>
      <w:r>
        <w:t>Other</w:t>
      </w:r>
      <w:r w:rsidR="00B72A0D" w:rsidRPr="00874567">
        <w:t xml:space="preserve"> relevant matters are considered below</w:t>
      </w:r>
      <w:r w:rsidR="00B72A0D" w:rsidRPr="00874567">
        <w:rPr>
          <w:lang w:bidi="ar-SA"/>
        </w:rPr>
        <w:t>.</w:t>
      </w:r>
      <w:r w:rsidR="00B72A0D" w:rsidRPr="00874567">
        <w:t xml:space="preserve"> </w:t>
      </w:r>
      <w:bookmarkEnd w:id="90"/>
      <w:bookmarkEnd w:id="91"/>
      <w:bookmarkEnd w:id="92"/>
      <w:bookmarkEnd w:id="93"/>
    </w:p>
    <w:p w14:paraId="773943A2" w14:textId="1934FACA" w:rsidR="004520B0" w:rsidRDefault="004520B0" w:rsidP="004520B0">
      <w:pPr>
        <w:pStyle w:val="Heading3"/>
      </w:pPr>
      <w:bookmarkStart w:id="94" w:name="_Toc65164412"/>
      <w:r>
        <w:t>2.5.2</w:t>
      </w:r>
      <w:r>
        <w:tab/>
        <w:t>Subsection 18(1)</w:t>
      </w:r>
      <w:bookmarkEnd w:id="94"/>
    </w:p>
    <w:p w14:paraId="7D517338"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8BE1B5D" w14:textId="77777777" w:rsidR="002C1A3B" w:rsidRPr="002C1A3B" w:rsidRDefault="002C1A3B" w:rsidP="002C1A3B">
      <w:pPr>
        <w:pStyle w:val="Heading4"/>
        <w:rPr>
          <w:lang w:eastAsia="en-AU"/>
        </w:rPr>
      </w:pPr>
      <w:bookmarkStart w:id="95" w:name="_Toc297029117"/>
      <w:bookmarkStart w:id="96" w:name="_Toc300761898"/>
      <w:bookmarkStart w:id="97" w:name="_Toc300933441"/>
      <w:r w:rsidRPr="002C1A3B">
        <w:rPr>
          <w:lang w:eastAsia="en-AU"/>
        </w:rPr>
        <w:t>2.5.2.1</w:t>
      </w:r>
      <w:r w:rsidRPr="002C1A3B">
        <w:rPr>
          <w:lang w:eastAsia="en-AU"/>
        </w:rPr>
        <w:tab/>
        <w:t>Protection of public health and safety</w:t>
      </w:r>
      <w:bookmarkEnd w:id="95"/>
      <w:bookmarkEnd w:id="96"/>
      <w:bookmarkEnd w:id="97"/>
    </w:p>
    <w:p w14:paraId="2941802C" w14:textId="77777777" w:rsidR="00B72A0D" w:rsidRDefault="00B72A0D" w:rsidP="00B72A0D">
      <w:bookmarkStart w:id="98" w:name="_Toc300761899"/>
      <w:bookmarkStart w:id="99" w:name="_Toc300933442"/>
      <w:r>
        <w:t xml:space="preserve">FSANZ’s assessment did not identify any </w:t>
      </w:r>
      <w:r w:rsidRPr="00D330AA">
        <w:t>public health and safety concerns</w:t>
      </w:r>
      <w:r>
        <w:t xml:space="preserve"> with f</w:t>
      </w:r>
      <w:r w:rsidRPr="00D330AA">
        <w:t xml:space="preserve">ood derived from </w:t>
      </w:r>
      <w:r>
        <w:t xml:space="preserve">canola line MON94100.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D330AA">
        <w:t>food derived from</w:t>
      </w:r>
      <w:r>
        <w:t xml:space="preserve"> canola line</w:t>
      </w:r>
      <w:r w:rsidRPr="00D330AA">
        <w:t xml:space="preserve"> </w:t>
      </w:r>
      <w:r>
        <w:t>MON94100</w:t>
      </w:r>
      <w:r w:rsidRPr="00D330AA">
        <w:t xml:space="preserve"> is as safe as food derived from other non-GM </w:t>
      </w:r>
      <w:r>
        <w:t>canola</w:t>
      </w:r>
      <w:r w:rsidRPr="00D330AA">
        <w:t xml:space="preserve"> lines.</w:t>
      </w:r>
    </w:p>
    <w:p w14:paraId="7758A148" w14:textId="77777777"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98"/>
      <w:bookmarkEnd w:id="99"/>
    </w:p>
    <w:p w14:paraId="1058ED43" w14:textId="6118AEE7" w:rsidR="00B72A0D" w:rsidRDefault="00B72A0D" w:rsidP="00B72A0D">
      <w:bookmarkStart w:id="100" w:name="_Toc300761900"/>
      <w:bookmarkStart w:id="101" w:name="_Toc300933443"/>
      <w:r>
        <w:t xml:space="preserve">Existing labelling requirements for GM food will apply </w:t>
      </w:r>
      <w:r w:rsidRPr="00161347">
        <w:t xml:space="preserve">to food derived from </w:t>
      </w:r>
      <w:r>
        <w:t xml:space="preserve">canola line MON94100 in accordance with the Code to enable informed consumer choice </w:t>
      </w:r>
      <w:r w:rsidRPr="00161347">
        <w:t xml:space="preserve">(see </w:t>
      </w:r>
      <w:r>
        <w:t>S</w:t>
      </w:r>
      <w:r w:rsidRPr="00161347">
        <w:t>ection 2.</w:t>
      </w:r>
      <w:r w:rsidR="003F0B73">
        <w:t>3</w:t>
      </w:r>
      <w:r w:rsidRPr="00161347">
        <w:t>.1</w:t>
      </w:r>
      <w:r>
        <w:t xml:space="preserve">). </w:t>
      </w:r>
    </w:p>
    <w:p w14:paraId="3A378850"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00"/>
      <w:bookmarkEnd w:id="101"/>
    </w:p>
    <w:p w14:paraId="0B527B05" w14:textId="4699410C" w:rsidR="00B72A0D" w:rsidRPr="00D330AA" w:rsidRDefault="00B72A0D" w:rsidP="00B72A0D">
      <w:bookmarkStart w:id="102" w:name="_Toc300761901"/>
      <w:bookmarkStart w:id="103" w:name="_Toc300933444"/>
      <w:bookmarkStart w:id="104" w:name="_Toc370223480"/>
      <w:bookmarkStart w:id="105" w:name="_Toc370225395"/>
      <w:r w:rsidRPr="002030BF">
        <w:t xml:space="preserve">The provision of DNA sequence information </w:t>
      </w:r>
      <w:r w:rsidRPr="00D330AA">
        <w:t>by the applicant (as described in Section 2.</w:t>
      </w:r>
      <w:r w:rsidR="003F0B73">
        <w:t>3</w:t>
      </w:r>
      <w:r w:rsidRPr="00D330AA">
        <w:t xml:space="preserve">.2) </w:t>
      </w:r>
      <w:r>
        <w:t>satisfies</w:t>
      </w:r>
      <w:r w:rsidRPr="00D330AA">
        <w:t xml:space="preserve"> this objective.</w:t>
      </w:r>
    </w:p>
    <w:p w14:paraId="4D4634C2" w14:textId="77777777" w:rsidR="002C1A3B" w:rsidRPr="002C1A3B" w:rsidRDefault="002C1A3B" w:rsidP="00790FD8">
      <w:pPr>
        <w:pStyle w:val="Heading3"/>
      </w:pPr>
      <w:bookmarkStart w:id="106" w:name="_Toc65164413"/>
      <w:r w:rsidRPr="002C1A3B">
        <w:t>2.5.3</w:t>
      </w:r>
      <w:r w:rsidRPr="002C1A3B">
        <w:tab/>
        <w:t xml:space="preserve">Subsection 18(2) </w:t>
      </w:r>
      <w:bookmarkEnd w:id="102"/>
      <w:bookmarkEnd w:id="103"/>
      <w:r w:rsidRPr="002C1A3B">
        <w:t>considerations</w:t>
      </w:r>
      <w:bookmarkEnd w:id="104"/>
      <w:bookmarkEnd w:id="105"/>
      <w:bookmarkEnd w:id="106"/>
    </w:p>
    <w:p w14:paraId="1962CBAC" w14:textId="77777777" w:rsidR="002C1A3B" w:rsidRPr="002C1A3B" w:rsidRDefault="002C1A3B" w:rsidP="002C1A3B">
      <w:pPr>
        <w:rPr>
          <w:rFonts w:cs="Arial"/>
        </w:rPr>
      </w:pPr>
      <w:r w:rsidRPr="002C1A3B">
        <w:rPr>
          <w:rFonts w:cs="Arial"/>
        </w:rPr>
        <w:t>FSANZ has also had regard to:</w:t>
      </w:r>
    </w:p>
    <w:p w14:paraId="7E2C4D1D" w14:textId="77777777" w:rsidR="002C1A3B" w:rsidRPr="002C1A3B" w:rsidRDefault="002C1A3B" w:rsidP="002C1A3B">
      <w:pPr>
        <w:rPr>
          <w:rFonts w:cs="Arial"/>
        </w:rPr>
      </w:pPr>
    </w:p>
    <w:p w14:paraId="04974441"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C6281AE" w14:textId="75338F7E" w:rsidR="002C1A3B" w:rsidRPr="002C1A3B" w:rsidRDefault="00B72A0D" w:rsidP="00B72A0D">
      <w:pPr>
        <w:spacing w:before="240" w:after="240"/>
        <w:rPr>
          <w:lang w:bidi="ar-SA"/>
        </w:rPr>
      </w:pPr>
      <w:r w:rsidRPr="00D330AA">
        <w:t xml:space="preserve">FSANZ’s approach to the safety assessment of GM foods applies concepts and principles outlined in the Codex Principles for the Risk Analysis of Foods derived from Biotechnology (Codex, 2009). Based on these principles, the risk analysis undertaken for </w:t>
      </w:r>
      <w:r>
        <w:t>canola line</w:t>
      </w:r>
      <w:r w:rsidRPr="00D330AA">
        <w:t xml:space="preserve"> </w:t>
      </w:r>
      <w:r w:rsidRPr="00AB6918">
        <w:t xml:space="preserve">MON94100 used the best scientific evidence available, including the jointly prepared safety assessment. The applicant submitted a comprehensive dossier of quality-assured raw </w:t>
      </w:r>
      <w:r w:rsidRPr="00D330AA">
        <w:t>experimental data. In addition to the information supplied by the applicant, other available resource material including published scientific literature and general technical information was used in the safety assessment.</w:t>
      </w:r>
    </w:p>
    <w:p w14:paraId="6A15F6C8" w14:textId="77777777" w:rsidR="002C1A3B" w:rsidRPr="002C1A3B" w:rsidRDefault="002C1A3B" w:rsidP="002C1A3B">
      <w:pPr>
        <w:pStyle w:val="FSBullet1"/>
        <w:rPr>
          <w:b/>
        </w:rPr>
      </w:pPr>
      <w:r w:rsidRPr="002C1A3B">
        <w:rPr>
          <w:b/>
        </w:rPr>
        <w:t>the promotion of consistency between domestic and international food standards</w:t>
      </w:r>
    </w:p>
    <w:p w14:paraId="050A8619" w14:textId="5A165FA4" w:rsidR="00B72A0D" w:rsidRPr="00E60973" w:rsidRDefault="00B72A0D" w:rsidP="00B72A0D">
      <w:pPr>
        <w:spacing w:before="240" w:after="240"/>
      </w:pPr>
      <w:r>
        <w:t>There</w:t>
      </w:r>
      <w:r w:rsidRPr="00E60973">
        <w:t xml:space="preserve"> are no relevant international standards.</w:t>
      </w:r>
    </w:p>
    <w:p w14:paraId="759FBD99" w14:textId="77777777" w:rsidR="002C1A3B" w:rsidRPr="002C1A3B" w:rsidRDefault="002C1A3B" w:rsidP="002C1A3B">
      <w:pPr>
        <w:pStyle w:val="FSBullet1"/>
        <w:rPr>
          <w:b/>
        </w:rPr>
      </w:pPr>
      <w:r w:rsidRPr="002C1A3B">
        <w:rPr>
          <w:b/>
        </w:rPr>
        <w:t>the desirability of an efficient and internationally competitive food industry</w:t>
      </w:r>
    </w:p>
    <w:p w14:paraId="6E24E66F" w14:textId="5ADC6561" w:rsidR="002C1A3B" w:rsidRPr="002C1A3B" w:rsidRDefault="00B72A0D" w:rsidP="00B72A0D">
      <w:pPr>
        <w:spacing w:before="240" w:after="240"/>
        <w:rPr>
          <w:lang w:bidi="ar-SA"/>
        </w:rPr>
      </w:pPr>
      <w:r w:rsidRPr="00E60973">
        <w:t xml:space="preserve">The inclusion of GM foods in the food supply, providing there are no safety concerns, allows for innovation by developers and a widening of the technological base for producing foods. </w:t>
      </w:r>
      <w:r>
        <w:t>Canola line</w:t>
      </w:r>
      <w:r w:rsidRPr="00D330AA">
        <w:t xml:space="preserve"> </w:t>
      </w:r>
      <w:r>
        <w:t>MON94100</w:t>
      </w:r>
      <w:r w:rsidRPr="00D330AA">
        <w:t xml:space="preserve"> </w:t>
      </w:r>
      <w:r w:rsidRPr="00E60973">
        <w:t>is a new food crop designed to</w:t>
      </w:r>
      <w:r>
        <w:t xml:space="preserve"> provide growers with an additional herbicide-tolerance option for canola farming systems. </w:t>
      </w:r>
    </w:p>
    <w:p w14:paraId="18A91DCC" w14:textId="77777777" w:rsidR="002C1A3B" w:rsidRPr="002C1A3B" w:rsidRDefault="002C1A3B" w:rsidP="002C1A3B">
      <w:pPr>
        <w:pStyle w:val="FSBullet1"/>
        <w:rPr>
          <w:b/>
        </w:rPr>
      </w:pPr>
      <w:r w:rsidRPr="002C1A3B">
        <w:rPr>
          <w:b/>
        </w:rPr>
        <w:t>the promotion of fair trading in food</w:t>
      </w:r>
    </w:p>
    <w:p w14:paraId="0869BD71" w14:textId="0A040E07" w:rsidR="002C1A3B" w:rsidRPr="002C1A3B" w:rsidRDefault="00B72A0D" w:rsidP="00B72A0D">
      <w:pPr>
        <w:spacing w:before="240" w:after="240"/>
        <w:rPr>
          <w:lang w:bidi="ar-SA"/>
        </w:rPr>
      </w:pPr>
      <w:r w:rsidRPr="00462FB4">
        <w:t>Issues related to consumer information and safety are considered in Section</w:t>
      </w:r>
      <w:r>
        <w:t>s</w:t>
      </w:r>
      <w:r w:rsidRPr="00462FB4">
        <w:t xml:space="preserve"> 2.2 and 2.3 above.</w:t>
      </w:r>
    </w:p>
    <w:p w14:paraId="5B953BDD" w14:textId="1E15A85B" w:rsidR="002C1A3B" w:rsidRPr="002C1A3B" w:rsidRDefault="002C1A3B" w:rsidP="002C1A3B">
      <w:pPr>
        <w:pStyle w:val="FSBullet1"/>
        <w:rPr>
          <w:b/>
        </w:rPr>
      </w:pPr>
      <w:r w:rsidRPr="002C1A3B">
        <w:rPr>
          <w:b/>
        </w:rPr>
        <w:t xml:space="preserve">any written policy guidelines formulated by the </w:t>
      </w:r>
      <w:r w:rsidR="0001633E">
        <w:rPr>
          <w:b/>
        </w:rPr>
        <w:t>Food Ministers’ Meeting</w:t>
      </w:r>
      <w:r w:rsidR="0001633E">
        <w:rPr>
          <w:rStyle w:val="FootnoteReference"/>
          <w:b/>
        </w:rPr>
        <w:footnoteReference w:id="11"/>
      </w:r>
    </w:p>
    <w:p w14:paraId="7B8E7189" w14:textId="6ED815B3" w:rsidR="00B72A0D" w:rsidRPr="000372A4" w:rsidRDefault="00B72A0D" w:rsidP="00B72A0D">
      <w:pPr>
        <w:spacing w:before="240" w:after="240"/>
      </w:pPr>
      <w:r w:rsidRPr="00462FB4">
        <w:t>No specific policy guidelines have been developed.</w:t>
      </w:r>
    </w:p>
    <w:p w14:paraId="4B524569" w14:textId="4518BFF5" w:rsidR="0012388D" w:rsidRPr="00B72A0D" w:rsidRDefault="00B72A0D" w:rsidP="002C1A3B">
      <w:pPr>
        <w:pStyle w:val="Heading1"/>
      </w:pPr>
      <w:bookmarkStart w:id="107" w:name="_Toc11735642"/>
      <w:bookmarkStart w:id="108" w:name="_Toc29883129"/>
      <w:bookmarkStart w:id="109" w:name="_Toc41906816"/>
      <w:bookmarkStart w:id="110" w:name="_Toc41907563"/>
      <w:bookmarkStart w:id="111" w:name="_Toc120358595"/>
      <w:bookmarkStart w:id="112" w:name="_Toc175381457"/>
      <w:bookmarkStart w:id="113" w:name="_Toc65164414"/>
      <w:bookmarkEnd w:id="85"/>
      <w:r w:rsidRPr="00B72A0D">
        <w:t>3</w:t>
      </w:r>
      <w:r w:rsidR="00453646" w:rsidRPr="00B72A0D">
        <w:tab/>
      </w:r>
      <w:bookmarkEnd w:id="107"/>
      <w:bookmarkEnd w:id="108"/>
      <w:bookmarkEnd w:id="109"/>
      <w:bookmarkEnd w:id="110"/>
      <w:bookmarkEnd w:id="111"/>
      <w:bookmarkEnd w:id="112"/>
      <w:r w:rsidRPr="00B72A0D">
        <w:t>Draft variation</w:t>
      </w:r>
      <w:bookmarkEnd w:id="113"/>
    </w:p>
    <w:p w14:paraId="26C08E7E" w14:textId="77777777" w:rsidR="00B72A0D" w:rsidRPr="001E1FAB" w:rsidRDefault="00B72A0D" w:rsidP="00B72A0D">
      <w:pPr>
        <w:spacing w:after="240"/>
        <w:rPr>
          <w:color w:val="000000" w:themeColor="text1"/>
        </w:rPr>
      </w:pPr>
      <w:bookmarkStart w:id="114" w:name="_Toc300761917"/>
      <w:bookmarkStart w:id="115" w:name="_Toc300933449"/>
      <w:r w:rsidRPr="001E1FAB">
        <w:rPr>
          <w:color w:val="000000" w:themeColor="text1"/>
        </w:rPr>
        <w:t xml:space="preserve">The </w:t>
      </w:r>
      <w:r>
        <w:rPr>
          <w:color w:val="000000" w:themeColor="text1"/>
        </w:rPr>
        <w:t xml:space="preserve">approved </w:t>
      </w:r>
      <w:r w:rsidRPr="001E1FAB">
        <w:rPr>
          <w:color w:val="000000" w:themeColor="text1"/>
        </w:rPr>
        <w:t>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the date of </w:t>
      </w:r>
      <w:r w:rsidRPr="00C17224">
        <w:t>gazettal.</w:t>
      </w:r>
    </w:p>
    <w:p w14:paraId="4427446D" w14:textId="0F9F6431" w:rsidR="00B72A0D" w:rsidRPr="00D26814" w:rsidRDefault="00B72A0D" w:rsidP="00B72A0D">
      <w:pPr>
        <w:spacing w:after="240"/>
        <w:rPr>
          <w:u w:val="single"/>
        </w:rPr>
      </w:pPr>
      <w:r>
        <w:t>A</w:t>
      </w:r>
      <w:r w:rsidR="00A52378">
        <w:t xml:space="preserve">n </w:t>
      </w:r>
      <w:r>
        <w:t>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FDDB123" w14:textId="0822893C" w:rsidR="001122EC" w:rsidRPr="00684BF8" w:rsidRDefault="00684BF8" w:rsidP="001122EC">
      <w:pPr>
        <w:pStyle w:val="Heading1"/>
      </w:pPr>
      <w:bookmarkStart w:id="116" w:name="_Toc65164415"/>
      <w:bookmarkStart w:id="117" w:name="_Toc11735643"/>
      <w:bookmarkStart w:id="118" w:name="_Toc29883130"/>
      <w:bookmarkStart w:id="119" w:name="_Toc41906817"/>
      <w:bookmarkStart w:id="120" w:name="_Toc41907564"/>
      <w:bookmarkStart w:id="121" w:name="_Toc43112360"/>
      <w:bookmarkEnd w:id="114"/>
      <w:bookmarkEnd w:id="115"/>
      <w:r w:rsidRPr="00684BF8">
        <w:lastRenderedPageBreak/>
        <w:t>4</w:t>
      </w:r>
      <w:r w:rsidR="001122EC" w:rsidRPr="00684BF8">
        <w:tab/>
        <w:t>R</w:t>
      </w:r>
      <w:r w:rsidR="000B427A" w:rsidRPr="00684BF8">
        <w:t>eferences</w:t>
      </w:r>
      <w:bookmarkEnd w:id="116"/>
    </w:p>
    <w:p w14:paraId="0F66AC73" w14:textId="77777777" w:rsidR="00684BF8" w:rsidRPr="00D330AA" w:rsidRDefault="00684BF8" w:rsidP="00684BF8">
      <w:pPr>
        <w:spacing w:after="120"/>
        <w:rPr>
          <w:rStyle w:val="Hyperlink"/>
          <w:color w:val="auto"/>
          <w:sz w:val="20"/>
          <w:szCs w:val="20"/>
          <w:lang w:bidi="ar-SA"/>
        </w:rPr>
      </w:pPr>
      <w:r w:rsidRPr="00D330AA">
        <w:rPr>
          <w:sz w:val="20"/>
          <w:szCs w:val="20"/>
          <w:lang w:bidi="ar-SA"/>
        </w:rPr>
        <w:t xml:space="preserve">Codex (2009) </w:t>
      </w:r>
      <w:r>
        <w:rPr>
          <w:sz w:val="20"/>
          <w:szCs w:val="20"/>
          <w:lang w:bidi="ar-SA"/>
        </w:rPr>
        <w:t>Foods</w:t>
      </w:r>
      <w:r w:rsidRPr="00D330AA">
        <w:rPr>
          <w:sz w:val="20"/>
          <w:szCs w:val="20"/>
          <w:lang w:bidi="ar-SA"/>
        </w:rPr>
        <w:t xml:space="preserve"> derived from modern biotechnology</w:t>
      </w:r>
      <w:r>
        <w:rPr>
          <w:sz w:val="20"/>
          <w:szCs w:val="20"/>
          <w:lang w:bidi="ar-SA"/>
        </w:rPr>
        <w:t>, Second Edition</w:t>
      </w:r>
      <w:r w:rsidRPr="00D330AA">
        <w:rPr>
          <w:sz w:val="20"/>
          <w:szCs w:val="20"/>
          <w:lang w:bidi="ar-SA"/>
        </w:rPr>
        <w:t xml:space="preserve">. Codex Alimentarius Commission, Rome. </w:t>
      </w:r>
      <w:hyperlink r:id="rId22" w:history="1">
        <w:r w:rsidRPr="00652BA9">
          <w:rPr>
            <w:rStyle w:val="Hyperlink"/>
            <w:sz w:val="20"/>
            <w:szCs w:val="20"/>
            <w:lang w:bidi="ar-SA"/>
          </w:rPr>
          <w:t>http://www.fao.org/3/a1554e/a1554e00.htm</w:t>
        </w:r>
      </w:hyperlink>
    </w:p>
    <w:p w14:paraId="43FB5C8D" w14:textId="77777777" w:rsidR="0012388D" w:rsidRDefault="00D15A08" w:rsidP="006C22A7">
      <w:pPr>
        <w:spacing w:before="240"/>
        <w:rPr>
          <w:b/>
          <w:sz w:val="28"/>
          <w:szCs w:val="28"/>
        </w:rPr>
      </w:pPr>
      <w:r w:rsidRPr="006C22A7">
        <w:rPr>
          <w:b/>
          <w:sz w:val="28"/>
          <w:szCs w:val="28"/>
        </w:rPr>
        <w:t>A</w:t>
      </w:r>
      <w:bookmarkEnd w:id="117"/>
      <w:bookmarkEnd w:id="118"/>
      <w:bookmarkEnd w:id="119"/>
      <w:bookmarkEnd w:id="120"/>
      <w:bookmarkEnd w:id="121"/>
      <w:r w:rsidR="00B21055">
        <w:rPr>
          <w:b/>
          <w:sz w:val="28"/>
          <w:szCs w:val="28"/>
        </w:rPr>
        <w:t>ttachments</w:t>
      </w:r>
    </w:p>
    <w:p w14:paraId="0592641A" w14:textId="6CB6ECD4" w:rsidR="00922C20" w:rsidRPr="002A4310" w:rsidRDefault="00922C20" w:rsidP="00922C20">
      <w:pPr>
        <w:spacing w:before="240"/>
        <w:ind w:left="567" w:hanging="567"/>
      </w:pPr>
      <w:r w:rsidRPr="002A4310">
        <w:t>A.</w:t>
      </w:r>
      <w:r w:rsidRPr="002A4310">
        <w:tab/>
      </w:r>
      <w:r w:rsidR="00A52378">
        <w:t>Approved d</w:t>
      </w:r>
      <w:r w:rsidR="00A52378" w:rsidRPr="002A4310">
        <w:t xml:space="preserve">raft </w:t>
      </w:r>
      <w:r w:rsidRPr="002A4310">
        <w:t xml:space="preserve">variation to the </w:t>
      </w:r>
      <w:r w:rsidRPr="002A4310">
        <w:rPr>
          <w:i/>
        </w:rPr>
        <w:t>Australia New Zealand Food Standards Code</w:t>
      </w:r>
      <w:r w:rsidRPr="002A4310">
        <w:t xml:space="preserve"> </w:t>
      </w:r>
    </w:p>
    <w:p w14:paraId="5C16EDF8" w14:textId="6FE3FE5D" w:rsidR="00922C20" w:rsidRPr="000372A4" w:rsidRDefault="00922C20" w:rsidP="00922C20">
      <w:pPr>
        <w:spacing w:after="240"/>
        <w:ind w:left="567" w:hanging="567"/>
      </w:pPr>
      <w:r w:rsidRPr="002A4310">
        <w:t>B.</w:t>
      </w:r>
      <w:r w:rsidRPr="002A4310">
        <w:tab/>
        <w:t xml:space="preserve">Explanatory Statement </w:t>
      </w:r>
    </w:p>
    <w:p w14:paraId="76DFFED6" w14:textId="16C071C0" w:rsidR="00790FD8" w:rsidRPr="002A4310" w:rsidRDefault="003C4969" w:rsidP="00790FD8">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15572037"/>
      <w:bookmarkStart w:id="129" w:name="_Toc33532560"/>
      <w:bookmarkStart w:id="130" w:name="_Toc55915860"/>
      <w:bookmarkStart w:id="131" w:name="_Toc65164416"/>
      <w:r w:rsidR="00790FD8" w:rsidRPr="002A4310">
        <w:lastRenderedPageBreak/>
        <w:t xml:space="preserve">Attachment </w:t>
      </w:r>
      <w:bookmarkEnd w:id="122"/>
      <w:bookmarkEnd w:id="123"/>
      <w:bookmarkEnd w:id="124"/>
      <w:bookmarkEnd w:id="125"/>
      <w:bookmarkEnd w:id="126"/>
      <w:r w:rsidR="00790FD8" w:rsidRPr="002A4310">
        <w:t>A</w:t>
      </w:r>
      <w:bookmarkStart w:id="132" w:name="_Toc120358597"/>
      <w:bookmarkStart w:id="133" w:name="_Toc175381459"/>
      <w:bookmarkEnd w:id="127"/>
      <w:r w:rsidR="00790FD8" w:rsidRPr="002A4310">
        <w:t xml:space="preserve"> – </w:t>
      </w:r>
      <w:bookmarkStart w:id="134" w:name="_Toc415572039"/>
      <w:bookmarkEnd w:id="128"/>
      <w:bookmarkEnd w:id="132"/>
      <w:bookmarkEnd w:id="133"/>
      <w:r w:rsidR="00F53EB2">
        <w:t>Approved d</w:t>
      </w:r>
      <w:r w:rsidR="00F53EB2" w:rsidRPr="002A4310">
        <w:t xml:space="preserve">raft </w:t>
      </w:r>
      <w:r w:rsidR="00790FD8" w:rsidRPr="002A4310">
        <w:t xml:space="preserve">variation to the </w:t>
      </w:r>
      <w:r w:rsidR="00790FD8" w:rsidRPr="002A4310">
        <w:rPr>
          <w:i/>
        </w:rPr>
        <w:t>Australia New Zealand Food Standards Code</w:t>
      </w:r>
      <w:bookmarkEnd w:id="129"/>
      <w:bookmarkEnd w:id="130"/>
      <w:bookmarkEnd w:id="131"/>
      <w:r w:rsidR="00790FD8" w:rsidRPr="002A4310">
        <w:rPr>
          <w:i/>
        </w:rPr>
        <w:t xml:space="preserve"> </w:t>
      </w:r>
      <w:bookmarkStart w:id="135" w:name="_Toc497724573"/>
      <w:bookmarkStart w:id="136" w:name="_Toc500330654"/>
      <w:bookmarkEnd w:id="134"/>
      <w:bookmarkEnd w:id="135"/>
      <w:bookmarkEnd w:id="136"/>
      <w:r w:rsidR="00790FD8" w:rsidRPr="002A4310">
        <w:rPr>
          <w:i/>
        </w:rPr>
        <w:t xml:space="preserve"> </w:t>
      </w:r>
    </w:p>
    <w:p w14:paraId="0A4054A7" w14:textId="77777777" w:rsidR="00790FD8" w:rsidRPr="002A4310" w:rsidRDefault="00790FD8" w:rsidP="00790FD8">
      <w:pPr>
        <w:rPr>
          <w:lang w:bidi="ar-SA"/>
        </w:rPr>
      </w:pPr>
    </w:p>
    <w:p w14:paraId="60FC3659" w14:textId="77777777" w:rsidR="00790FD8" w:rsidRPr="002A4310" w:rsidRDefault="00790FD8" w:rsidP="00790FD8">
      <w:pPr>
        <w:rPr>
          <w:noProof/>
          <w:sz w:val="20"/>
          <w:lang w:val="en-AU" w:eastAsia="en-AU"/>
        </w:rPr>
      </w:pPr>
      <w:r w:rsidRPr="002A4310">
        <w:rPr>
          <w:noProof/>
          <w:sz w:val="20"/>
          <w:lang w:eastAsia="en-GB" w:bidi="ar-SA"/>
        </w:rPr>
        <w:drawing>
          <wp:inline distT="0" distB="0" distL="0" distR="0" wp14:anchorId="45D54AD5" wp14:editId="22A4B05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6BDF090" w14:textId="77777777" w:rsidR="00790FD8" w:rsidRPr="002A4310" w:rsidRDefault="00790FD8" w:rsidP="00790FD8">
      <w:pPr>
        <w:widowControl/>
        <w:pBdr>
          <w:bottom w:val="single" w:sz="4" w:space="1" w:color="auto"/>
        </w:pBdr>
        <w:jc w:val="center"/>
        <w:rPr>
          <w:rFonts w:eastAsiaTheme="minorHAnsi" w:cstheme="minorBidi"/>
          <w:sz w:val="20"/>
          <w:lang w:eastAsia="en-GB"/>
        </w:rPr>
      </w:pPr>
    </w:p>
    <w:p w14:paraId="7FC2A44B" w14:textId="77777777" w:rsidR="00790FD8" w:rsidRPr="002A4310" w:rsidRDefault="00790FD8" w:rsidP="00790FD8">
      <w:pPr>
        <w:pBdr>
          <w:bottom w:val="single" w:sz="4" w:space="1" w:color="auto"/>
        </w:pBdr>
        <w:rPr>
          <w:b/>
          <w:sz w:val="20"/>
        </w:rPr>
      </w:pPr>
      <w:r w:rsidRPr="002A4310">
        <w:rPr>
          <w:rFonts w:cs="Arial"/>
          <w:b/>
          <w:sz w:val="20"/>
        </w:rPr>
        <w:t xml:space="preserve">Food Standards (Application </w:t>
      </w:r>
      <w:r w:rsidRPr="00E00717">
        <w:rPr>
          <w:b/>
          <w:sz w:val="20"/>
        </w:rPr>
        <w:t>A1216</w:t>
      </w:r>
      <w:r w:rsidRPr="002A4310">
        <w:rPr>
          <w:b/>
          <w:sz w:val="20"/>
        </w:rPr>
        <w:t xml:space="preserve"> –</w:t>
      </w:r>
      <w:r w:rsidRPr="002A4310">
        <w:t xml:space="preserve"> </w:t>
      </w:r>
      <w:r w:rsidRPr="002A4310">
        <w:rPr>
          <w:b/>
          <w:sz w:val="20"/>
        </w:rPr>
        <w:t xml:space="preserve">Food derived from </w:t>
      </w:r>
      <w:r w:rsidRPr="002A4310">
        <w:rPr>
          <w:b/>
          <w:bCs/>
          <w:sz w:val="20"/>
        </w:rPr>
        <w:t xml:space="preserve">herbicide-tolerant </w:t>
      </w:r>
      <w:r>
        <w:rPr>
          <w:b/>
          <w:bCs/>
          <w:sz w:val="20"/>
        </w:rPr>
        <w:t>canola</w:t>
      </w:r>
      <w:r w:rsidRPr="002A4310">
        <w:rPr>
          <w:b/>
          <w:sz w:val="20"/>
        </w:rPr>
        <w:t xml:space="preserve"> line </w:t>
      </w:r>
      <w:r>
        <w:rPr>
          <w:b/>
          <w:bCs/>
          <w:sz w:val="20"/>
        </w:rPr>
        <w:t>MON94100</w:t>
      </w:r>
      <w:r w:rsidRPr="002A4310">
        <w:rPr>
          <w:rFonts w:cs="Arial"/>
          <w:b/>
          <w:sz w:val="20"/>
        </w:rPr>
        <w:t>)</w:t>
      </w:r>
      <w:r w:rsidRPr="002A4310">
        <w:rPr>
          <w:b/>
          <w:sz w:val="20"/>
        </w:rPr>
        <w:t xml:space="preserve"> Variation</w:t>
      </w:r>
    </w:p>
    <w:p w14:paraId="6925C53C" w14:textId="77777777" w:rsidR="00790FD8" w:rsidRPr="002A4310" w:rsidRDefault="00790FD8" w:rsidP="00790FD8">
      <w:pPr>
        <w:pBdr>
          <w:bottom w:val="single" w:sz="4" w:space="1" w:color="auto"/>
        </w:pBdr>
        <w:rPr>
          <w:b/>
          <w:color w:val="FF0000"/>
          <w:sz w:val="20"/>
        </w:rPr>
      </w:pPr>
    </w:p>
    <w:p w14:paraId="690C6F87" w14:textId="77777777" w:rsidR="00790FD8" w:rsidRPr="002A4310" w:rsidRDefault="00790FD8" w:rsidP="00790FD8">
      <w:pPr>
        <w:rPr>
          <w:color w:val="FF0000"/>
          <w:sz w:val="20"/>
        </w:rPr>
      </w:pPr>
    </w:p>
    <w:p w14:paraId="1D1F7AFE" w14:textId="77777777" w:rsidR="00790FD8" w:rsidRPr="00462FB4" w:rsidRDefault="00790FD8" w:rsidP="00790FD8">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5BBE19CB" w14:textId="77777777" w:rsidR="00790FD8" w:rsidRPr="00462FB4" w:rsidRDefault="00790FD8" w:rsidP="00790FD8">
      <w:pPr>
        <w:rPr>
          <w:sz w:val="20"/>
        </w:rPr>
      </w:pPr>
    </w:p>
    <w:p w14:paraId="26F07171" w14:textId="77777777" w:rsidR="00790FD8" w:rsidRPr="002A4310" w:rsidRDefault="00790FD8" w:rsidP="00790FD8">
      <w:pPr>
        <w:rPr>
          <w:color w:val="FF0000"/>
          <w:sz w:val="20"/>
        </w:rPr>
      </w:pPr>
      <w:r w:rsidRPr="00462FB4">
        <w:rPr>
          <w:sz w:val="20"/>
        </w:rPr>
        <w:t xml:space="preserve">Dated </w:t>
      </w:r>
      <w:r w:rsidRPr="002A4310">
        <w:rPr>
          <w:color w:val="FF0000"/>
          <w:sz w:val="20"/>
        </w:rPr>
        <w:t>[To be completed by the delegate]</w:t>
      </w:r>
    </w:p>
    <w:p w14:paraId="713CB6B8" w14:textId="77777777" w:rsidR="00790FD8" w:rsidRPr="002A4310" w:rsidRDefault="00790FD8" w:rsidP="00790FD8">
      <w:pPr>
        <w:rPr>
          <w:color w:val="FF0000"/>
          <w:sz w:val="20"/>
        </w:rPr>
      </w:pPr>
    </w:p>
    <w:p w14:paraId="413A934D" w14:textId="77777777" w:rsidR="00790FD8" w:rsidRPr="002A4310" w:rsidRDefault="00790FD8" w:rsidP="00790FD8">
      <w:pPr>
        <w:rPr>
          <w:color w:val="FF0000"/>
          <w:sz w:val="20"/>
        </w:rPr>
      </w:pPr>
    </w:p>
    <w:p w14:paraId="7F31BE85" w14:textId="77777777" w:rsidR="00790FD8" w:rsidRPr="002A4310" w:rsidRDefault="00790FD8" w:rsidP="00790FD8">
      <w:pPr>
        <w:rPr>
          <w:color w:val="FF0000"/>
          <w:sz w:val="20"/>
        </w:rPr>
      </w:pPr>
    </w:p>
    <w:p w14:paraId="3266F472" w14:textId="77777777" w:rsidR="00790FD8" w:rsidRPr="002A4310" w:rsidRDefault="00790FD8" w:rsidP="00790FD8">
      <w:pPr>
        <w:rPr>
          <w:color w:val="FF0000"/>
          <w:sz w:val="20"/>
        </w:rPr>
      </w:pPr>
    </w:p>
    <w:p w14:paraId="32BC8445" w14:textId="77777777" w:rsidR="00790FD8" w:rsidRPr="00462FB4" w:rsidRDefault="00790FD8" w:rsidP="00790FD8">
      <w:pPr>
        <w:rPr>
          <w:sz w:val="20"/>
        </w:rPr>
      </w:pPr>
    </w:p>
    <w:p w14:paraId="052B1027" w14:textId="77777777" w:rsidR="00790FD8" w:rsidRPr="00462FB4" w:rsidRDefault="00790FD8" w:rsidP="00790FD8">
      <w:pPr>
        <w:rPr>
          <w:sz w:val="20"/>
        </w:rPr>
      </w:pPr>
      <w:r w:rsidRPr="00462FB4">
        <w:rPr>
          <w:sz w:val="20"/>
        </w:rPr>
        <w:t>Scott Crerar</w:t>
      </w:r>
    </w:p>
    <w:p w14:paraId="60176DC6" w14:textId="77777777" w:rsidR="00790FD8" w:rsidRPr="00462FB4" w:rsidRDefault="00790FD8" w:rsidP="00790FD8">
      <w:pPr>
        <w:rPr>
          <w:sz w:val="20"/>
        </w:rPr>
      </w:pPr>
      <w:r w:rsidRPr="00462FB4">
        <w:rPr>
          <w:sz w:val="20"/>
        </w:rPr>
        <w:t>Delegate of the Board of Food Standards Australia New Zealand</w:t>
      </w:r>
    </w:p>
    <w:p w14:paraId="7DDB3B50" w14:textId="77777777" w:rsidR="00790FD8" w:rsidRPr="002A4310" w:rsidRDefault="00790FD8" w:rsidP="00790FD8">
      <w:pPr>
        <w:rPr>
          <w:color w:val="FF0000"/>
          <w:sz w:val="20"/>
        </w:rPr>
      </w:pPr>
    </w:p>
    <w:p w14:paraId="5E7F6BF7" w14:textId="77777777" w:rsidR="00790FD8" w:rsidRPr="002A4310" w:rsidRDefault="00790FD8" w:rsidP="00790FD8">
      <w:pPr>
        <w:rPr>
          <w:color w:val="FF0000"/>
          <w:sz w:val="20"/>
        </w:rPr>
      </w:pPr>
    </w:p>
    <w:p w14:paraId="595DBEF7" w14:textId="77777777" w:rsidR="00790FD8" w:rsidRPr="002A4310" w:rsidRDefault="00790FD8" w:rsidP="00790FD8">
      <w:pPr>
        <w:rPr>
          <w:color w:val="FF0000"/>
          <w:sz w:val="20"/>
        </w:rPr>
      </w:pPr>
    </w:p>
    <w:p w14:paraId="7C73FA92" w14:textId="77777777" w:rsidR="00790FD8" w:rsidRPr="002A4310" w:rsidRDefault="00790FD8" w:rsidP="00790FD8">
      <w:pPr>
        <w:rPr>
          <w:color w:val="FF0000"/>
          <w:sz w:val="20"/>
        </w:rPr>
      </w:pPr>
    </w:p>
    <w:p w14:paraId="0860A203" w14:textId="77777777" w:rsidR="00790FD8" w:rsidRPr="002A4310" w:rsidRDefault="00790FD8" w:rsidP="00790FD8">
      <w:pPr>
        <w:rPr>
          <w:color w:val="FF0000"/>
          <w:sz w:val="20"/>
        </w:rPr>
      </w:pPr>
    </w:p>
    <w:p w14:paraId="7E340103" w14:textId="77777777" w:rsidR="00790FD8" w:rsidRPr="00C72AEF" w:rsidRDefault="00790FD8" w:rsidP="00790FD8">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2C17CB93" w14:textId="77777777" w:rsidR="00790FD8" w:rsidRPr="00C72AEF" w:rsidRDefault="00790FD8" w:rsidP="00790FD8">
      <w:pPr>
        <w:pBdr>
          <w:top w:val="single" w:sz="6" w:space="0" w:color="auto"/>
          <w:left w:val="single" w:sz="6" w:space="0" w:color="auto"/>
          <w:bottom w:val="single" w:sz="6" w:space="0" w:color="auto"/>
          <w:right w:val="single" w:sz="6" w:space="0" w:color="auto"/>
        </w:pBdr>
        <w:rPr>
          <w:sz w:val="20"/>
          <w:lang w:val="en-AU"/>
        </w:rPr>
      </w:pPr>
    </w:p>
    <w:p w14:paraId="27E98711" w14:textId="77777777" w:rsidR="00790FD8" w:rsidRPr="00C72AEF" w:rsidRDefault="00790FD8" w:rsidP="00790FD8">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44EF67A6" w14:textId="77777777" w:rsidR="00790FD8" w:rsidRPr="002A4310" w:rsidRDefault="00790FD8" w:rsidP="00790FD8">
      <w:pPr>
        <w:rPr>
          <w:color w:val="FF0000"/>
        </w:rPr>
      </w:pPr>
    </w:p>
    <w:p w14:paraId="2F68284B" w14:textId="77777777" w:rsidR="00790FD8" w:rsidRPr="002A4310" w:rsidRDefault="00790FD8" w:rsidP="00790FD8">
      <w:pPr>
        <w:rPr>
          <w:color w:val="FF0000"/>
        </w:rPr>
      </w:pPr>
      <w:r w:rsidRPr="002A4310">
        <w:rPr>
          <w:color w:val="FF0000"/>
        </w:rPr>
        <w:br w:type="page"/>
      </w:r>
    </w:p>
    <w:p w14:paraId="49DE88AE" w14:textId="77777777" w:rsidR="00790FD8" w:rsidRPr="002A4310" w:rsidRDefault="00790FD8" w:rsidP="00790FD8">
      <w:pPr>
        <w:pStyle w:val="FSCDraftingitemheading"/>
      </w:pPr>
      <w:r w:rsidRPr="002A4310">
        <w:lastRenderedPageBreak/>
        <w:t>1</w:t>
      </w:r>
      <w:r w:rsidRPr="002A4310">
        <w:tab/>
        <w:t>Name</w:t>
      </w:r>
    </w:p>
    <w:p w14:paraId="792E6754" w14:textId="77777777" w:rsidR="00790FD8" w:rsidRPr="002A4310" w:rsidRDefault="00790FD8" w:rsidP="00790FD8">
      <w:pPr>
        <w:pStyle w:val="FSCDraftingitem"/>
      </w:pPr>
      <w:r w:rsidRPr="002A4310">
        <w:t xml:space="preserve">This instrument is the </w:t>
      </w:r>
      <w:r w:rsidRPr="002A4310">
        <w:rPr>
          <w:i/>
        </w:rPr>
        <w:t xml:space="preserve">Food Standards (Application </w:t>
      </w:r>
      <w:r w:rsidRPr="00DC5B70">
        <w:rPr>
          <w:i/>
        </w:rPr>
        <w:t xml:space="preserve">A1216 </w:t>
      </w:r>
      <w:r w:rsidRPr="002A4310">
        <w:rPr>
          <w:i/>
        </w:rPr>
        <w:t>– Food derived from</w:t>
      </w:r>
      <w:r w:rsidRPr="00662FDD">
        <w:rPr>
          <w:i/>
        </w:rPr>
        <w:t xml:space="preserve"> </w:t>
      </w:r>
      <w:r w:rsidRPr="002A4310">
        <w:rPr>
          <w:i/>
        </w:rPr>
        <w:t>herbicide-tolerant</w:t>
      </w:r>
      <w:r>
        <w:rPr>
          <w:i/>
        </w:rPr>
        <w:t xml:space="preserve"> canola</w:t>
      </w:r>
      <w:r w:rsidRPr="002A4310">
        <w:rPr>
          <w:i/>
        </w:rPr>
        <w:t xml:space="preserve"> line </w:t>
      </w:r>
      <w:r>
        <w:rPr>
          <w:i/>
        </w:rPr>
        <w:t>MON94100</w:t>
      </w:r>
      <w:r w:rsidRPr="002A4310">
        <w:rPr>
          <w:i/>
        </w:rPr>
        <w:t>) Variation</w:t>
      </w:r>
      <w:r w:rsidRPr="002A4310">
        <w:t>.</w:t>
      </w:r>
    </w:p>
    <w:p w14:paraId="043F05D8" w14:textId="77777777" w:rsidR="00790FD8" w:rsidRPr="002A4310" w:rsidRDefault="00790FD8" w:rsidP="00790FD8">
      <w:pPr>
        <w:pStyle w:val="FSCDraftingitemheading"/>
      </w:pPr>
      <w:r w:rsidRPr="002A4310">
        <w:t>2</w:t>
      </w:r>
      <w:r w:rsidRPr="002A4310">
        <w:tab/>
        <w:t xml:space="preserve">Variation to a Standard in the </w:t>
      </w:r>
      <w:r w:rsidRPr="002A4310">
        <w:rPr>
          <w:i/>
        </w:rPr>
        <w:t>Australia New Zealand Food Standards Code</w:t>
      </w:r>
    </w:p>
    <w:p w14:paraId="00CFDA8F" w14:textId="77777777" w:rsidR="00790FD8" w:rsidRPr="002A4310" w:rsidRDefault="00790FD8" w:rsidP="00790FD8">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41003E12" w14:textId="77777777" w:rsidR="00790FD8" w:rsidRPr="002A4310" w:rsidRDefault="00790FD8" w:rsidP="00790FD8">
      <w:pPr>
        <w:pStyle w:val="FSCDraftingitemheading"/>
      </w:pPr>
      <w:r w:rsidRPr="002A4310">
        <w:t>3</w:t>
      </w:r>
      <w:r w:rsidRPr="002A4310">
        <w:tab/>
        <w:t>Commencement</w:t>
      </w:r>
    </w:p>
    <w:p w14:paraId="415A1321" w14:textId="77777777" w:rsidR="00790FD8" w:rsidRPr="002A4310" w:rsidRDefault="00790FD8" w:rsidP="00790FD8">
      <w:pPr>
        <w:pStyle w:val="FSCDraftingitem"/>
      </w:pPr>
      <w:r w:rsidRPr="002A4310">
        <w:t>The variation commences on the date of gazettal.</w:t>
      </w:r>
    </w:p>
    <w:p w14:paraId="379CAF15" w14:textId="77777777" w:rsidR="00790FD8" w:rsidRPr="002A4310" w:rsidRDefault="00790FD8" w:rsidP="00790FD8">
      <w:pPr>
        <w:pStyle w:val="FSCDraftingitemheading"/>
        <w:jc w:val="center"/>
      </w:pPr>
      <w:r w:rsidRPr="002A4310">
        <w:t>Schedule</w:t>
      </w:r>
    </w:p>
    <w:p w14:paraId="10F58728" w14:textId="77777777" w:rsidR="00790FD8" w:rsidRPr="002A4310" w:rsidRDefault="00790FD8" w:rsidP="00790FD8">
      <w:pPr>
        <w:pStyle w:val="FSCDraftingitem"/>
      </w:pPr>
      <w:r w:rsidRPr="002A4310">
        <w:rPr>
          <w:b/>
        </w:rPr>
        <w:t>[1]</w:t>
      </w:r>
      <w:r w:rsidRPr="002A4310">
        <w:rPr>
          <w:b/>
        </w:rPr>
        <w:tab/>
        <w:t>Schedule 26</w:t>
      </w:r>
      <w:r w:rsidRPr="002A4310">
        <w:t xml:space="preserve"> is varied by inserting in the table to subsection S26—3(4) in</w:t>
      </w:r>
      <w:r>
        <w:t xml:space="preserve">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790FD8" w:rsidRPr="002A4310" w14:paraId="28E021F3" w14:textId="77777777" w:rsidTr="00517375">
        <w:trPr>
          <w:cantSplit/>
        </w:trPr>
        <w:tc>
          <w:tcPr>
            <w:tcW w:w="903" w:type="dxa"/>
          </w:tcPr>
          <w:p w14:paraId="364ECACB" w14:textId="77777777" w:rsidR="00790FD8" w:rsidRPr="002A4310" w:rsidRDefault="00790FD8" w:rsidP="00517375">
            <w:pPr>
              <w:pStyle w:val="FSCtblPara"/>
              <w:rPr>
                <w:color w:val="FF0000"/>
              </w:rPr>
            </w:pPr>
          </w:p>
        </w:tc>
        <w:tc>
          <w:tcPr>
            <w:tcW w:w="1190" w:type="dxa"/>
          </w:tcPr>
          <w:p w14:paraId="07C6AF9B" w14:textId="77777777" w:rsidR="00790FD8" w:rsidRPr="00C4435F" w:rsidRDefault="00790FD8" w:rsidP="00517375">
            <w:pPr>
              <w:pStyle w:val="FSCtblPara"/>
            </w:pPr>
          </w:p>
        </w:tc>
        <w:tc>
          <w:tcPr>
            <w:tcW w:w="6979" w:type="dxa"/>
          </w:tcPr>
          <w:p w14:paraId="6C4B8953" w14:textId="77777777" w:rsidR="00790FD8" w:rsidRPr="00C4435F" w:rsidRDefault="00790FD8" w:rsidP="00517375">
            <w:pPr>
              <w:pStyle w:val="FSCtblPara"/>
            </w:pPr>
            <w:r>
              <w:t>(h</w:t>
            </w:r>
            <w:r w:rsidRPr="00C4435F">
              <w:t xml:space="preserve">) </w:t>
            </w:r>
            <w:r w:rsidRPr="00C4435F">
              <w:tab/>
              <w:t xml:space="preserve">herbicide-tolerant </w:t>
            </w:r>
            <w:r>
              <w:t>canola</w:t>
            </w:r>
            <w:r w:rsidRPr="00C4435F">
              <w:t xml:space="preserve"> line </w:t>
            </w:r>
            <w:r>
              <w:t>MON94100</w:t>
            </w:r>
          </w:p>
        </w:tc>
      </w:tr>
    </w:tbl>
    <w:p w14:paraId="3983373A" w14:textId="77777777" w:rsidR="00790FD8" w:rsidRPr="002A4310" w:rsidRDefault="00790FD8" w:rsidP="00790FD8">
      <w:pPr>
        <w:rPr>
          <w:color w:val="FF0000"/>
          <w:lang w:val="en-AU" w:eastAsia="en-GB" w:bidi="ar-SA"/>
        </w:rPr>
      </w:pPr>
      <w:r w:rsidRPr="002A4310">
        <w:rPr>
          <w:color w:val="FF0000"/>
        </w:rPr>
        <w:br w:type="page"/>
      </w:r>
    </w:p>
    <w:p w14:paraId="79EA7EA3" w14:textId="47C6EBE4" w:rsidR="00790FD8" w:rsidRPr="00C72AEF" w:rsidRDefault="00790FD8" w:rsidP="00790FD8">
      <w:pPr>
        <w:pStyle w:val="Heading2"/>
        <w:ind w:left="0" w:firstLine="0"/>
      </w:pPr>
      <w:bookmarkStart w:id="137" w:name="_Toc33532561"/>
      <w:bookmarkStart w:id="138" w:name="_Toc55915861"/>
      <w:bookmarkStart w:id="139" w:name="_Toc65164417"/>
      <w:r w:rsidRPr="00C72AEF">
        <w:lastRenderedPageBreak/>
        <w:t>Attachment B –</w:t>
      </w:r>
      <w:r w:rsidR="00BC61ED">
        <w:t xml:space="preserve"> </w:t>
      </w:r>
      <w:r w:rsidRPr="00C72AEF">
        <w:t>Explanatory Statement</w:t>
      </w:r>
      <w:bookmarkEnd w:id="137"/>
      <w:bookmarkEnd w:id="138"/>
      <w:bookmarkEnd w:id="139"/>
    </w:p>
    <w:p w14:paraId="340939DD" w14:textId="77777777" w:rsidR="00790FD8" w:rsidRPr="000372A4" w:rsidRDefault="00790FD8" w:rsidP="00790FD8">
      <w:pPr>
        <w:spacing w:before="240" w:after="240"/>
        <w:rPr>
          <w:b/>
          <w:lang w:val="en-AU" w:eastAsia="en-GB" w:bidi="ar-SA"/>
        </w:rPr>
      </w:pPr>
      <w:r w:rsidRPr="00C72AEF">
        <w:rPr>
          <w:b/>
          <w:lang w:val="en-AU" w:eastAsia="en-GB" w:bidi="ar-SA"/>
        </w:rPr>
        <w:t>1.</w:t>
      </w:r>
      <w:r w:rsidRPr="00C72AEF">
        <w:rPr>
          <w:b/>
          <w:lang w:val="en-AU" w:eastAsia="en-GB" w:bidi="ar-SA"/>
        </w:rPr>
        <w:tab/>
        <w:t>Authority</w:t>
      </w:r>
    </w:p>
    <w:p w14:paraId="60FD967F" w14:textId="77777777" w:rsidR="00790FD8" w:rsidRPr="00C72AEF" w:rsidRDefault="00790FD8" w:rsidP="00790FD8">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Section 13 of the </w:t>
      </w:r>
      <w:r w:rsidRPr="00C72AEF">
        <w:rPr>
          <w:rFonts w:eastAsia="Calibri" w:cs="Arial"/>
          <w:bCs/>
          <w:i/>
          <w:szCs w:val="22"/>
          <w:lang w:val="en-AU" w:bidi="ar-SA"/>
        </w:rPr>
        <w:t>Food Standards Australia New Zealand Act 1991</w:t>
      </w:r>
      <w:r w:rsidRPr="00C72AEF">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72AEF">
        <w:rPr>
          <w:rFonts w:eastAsia="Calibri" w:cs="Arial"/>
          <w:bCs/>
          <w:i/>
          <w:szCs w:val="22"/>
          <w:lang w:val="en-AU" w:bidi="ar-SA"/>
        </w:rPr>
        <w:t>Australia New Zealand Food Standards Code</w:t>
      </w:r>
      <w:r w:rsidRPr="00C72AEF">
        <w:rPr>
          <w:rFonts w:eastAsia="Calibri" w:cs="Arial"/>
          <w:bCs/>
          <w:szCs w:val="22"/>
          <w:lang w:val="en-AU" w:bidi="ar-SA"/>
        </w:rPr>
        <w:t xml:space="preserve"> (the Code).</w:t>
      </w:r>
    </w:p>
    <w:p w14:paraId="7B835D5A" w14:textId="77777777" w:rsidR="00790FD8" w:rsidRPr="000372A4" w:rsidRDefault="00790FD8" w:rsidP="00790FD8">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9A13004" w14:textId="469A5109" w:rsidR="00790FD8" w:rsidRDefault="00790FD8" w:rsidP="00790FD8">
      <w:pPr>
        <w:widowControl/>
        <w:autoSpaceDE w:val="0"/>
        <w:autoSpaceDN w:val="0"/>
        <w:adjustRightInd w:val="0"/>
        <w:spacing w:before="240" w:after="240"/>
        <w:rPr>
          <w:rFonts w:eastAsia="Calibri" w:cs="Arial"/>
          <w:bCs/>
          <w:szCs w:val="22"/>
          <w:lang w:val="en-AU" w:bidi="ar-SA"/>
        </w:rPr>
      </w:pPr>
      <w:r w:rsidRPr="00C72AEF">
        <w:rPr>
          <w:rFonts w:eastAsia="Calibri" w:cs="Arial"/>
          <w:szCs w:val="22"/>
          <w:lang w:val="en-AU" w:bidi="ar-SA"/>
        </w:rPr>
        <w:t xml:space="preserve">The Authority accepted </w:t>
      </w:r>
      <w:r>
        <w:rPr>
          <w:rFonts w:eastAsia="Calibri" w:cs="Arial"/>
          <w:szCs w:val="22"/>
          <w:lang w:val="en-AU" w:bidi="ar-SA"/>
        </w:rPr>
        <w:t>A</w:t>
      </w:r>
      <w:r w:rsidRPr="00C72AEF">
        <w:rPr>
          <w:rFonts w:eastAsia="Calibri" w:cs="Arial"/>
          <w:szCs w:val="22"/>
          <w:lang w:val="en-AU" w:bidi="ar-SA"/>
        </w:rPr>
        <w:t xml:space="preserve">pplication </w:t>
      </w:r>
      <w:r w:rsidRPr="00DC5B70">
        <w:rPr>
          <w:rFonts w:eastAsia="Calibri" w:cs="Arial"/>
          <w:bCs/>
          <w:szCs w:val="22"/>
          <w:lang w:val="en-AU" w:bidi="ar-SA"/>
        </w:rPr>
        <w:t>A1216</w:t>
      </w:r>
      <w:r w:rsidRPr="00C72AEF">
        <w:rPr>
          <w:rFonts w:eastAsia="Calibri" w:cs="Arial"/>
          <w:szCs w:val="22"/>
          <w:lang w:val="en-AU" w:bidi="ar-SA"/>
        </w:rPr>
        <w:t xml:space="preserve"> which seeks </w:t>
      </w:r>
      <w:r>
        <w:rPr>
          <w:lang w:bidi="ar-SA"/>
        </w:rPr>
        <w:t xml:space="preserve">to permit </w:t>
      </w:r>
      <w:r w:rsidRPr="00321936">
        <w:rPr>
          <w:lang w:bidi="ar-SA"/>
        </w:rPr>
        <w:t xml:space="preserve">the sale and use of food derived from </w:t>
      </w:r>
      <w:r>
        <w:rPr>
          <w:lang w:bidi="ar-SA"/>
        </w:rPr>
        <w:t>canola</w:t>
      </w:r>
      <w:r w:rsidRPr="00EA1619">
        <w:rPr>
          <w:lang w:bidi="ar-SA"/>
        </w:rPr>
        <w:t xml:space="preserve"> line </w:t>
      </w:r>
      <w:r>
        <w:rPr>
          <w:lang w:bidi="ar-SA"/>
        </w:rPr>
        <w:t>MON94100 as a new food produced using gene technology (a GM food). Canola</w:t>
      </w:r>
      <w:r w:rsidRPr="00EA1619">
        <w:rPr>
          <w:lang w:bidi="ar-SA"/>
        </w:rPr>
        <w:t xml:space="preserve"> line </w:t>
      </w:r>
      <w:r>
        <w:rPr>
          <w:lang w:bidi="ar-SA"/>
        </w:rPr>
        <w:t>MON94100 has been genetically modified for tolerance to the herbicide, dicamba</w:t>
      </w:r>
      <w:r w:rsidRPr="00B36D0B">
        <w:rPr>
          <w:rFonts w:eastAsia="Calibri" w:cs="Arial"/>
          <w:bCs/>
          <w:szCs w:val="22"/>
          <w:lang w:val="en-AU" w:bidi="ar-SA"/>
        </w:rPr>
        <w:t>.</w:t>
      </w:r>
      <w:r w:rsidRPr="00B36D0B">
        <w:rPr>
          <w:rFonts w:eastAsia="Calibri" w:cs="Arial"/>
          <w:szCs w:val="22"/>
          <w:lang w:val="en-AU" w:bidi="ar-SA"/>
        </w:rPr>
        <w:t xml:space="preserve"> The </w:t>
      </w:r>
      <w:r w:rsidRPr="00C72AEF">
        <w:rPr>
          <w:rFonts w:eastAsia="Calibri" w:cs="Arial"/>
          <w:szCs w:val="22"/>
          <w:lang w:val="en-AU" w:bidi="ar-SA"/>
        </w:rPr>
        <w:t xml:space="preserve">Authority considered the </w:t>
      </w:r>
      <w:r>
        <w:rPr>
          <w:rFonts w:eastAsia="Calibri" w:cs="Arial"/>
          <w:szCs w:val="22"/>
          <w:lang w:val="en-AU" w:bidi="ar-SA"/>
        </w:rPr>
        <w:t>A</w:t>
      </w:r>
      <w:r w:rsidRPr="00C72AEF">
        <w:rPr>
          <w:rFonts w:eastAsia="Calibri" w:cs="Arial"/>
          <w:szCs w:val="22"/>
          <w:lang w:val="en-AU" w:bidi="ar-SA"/>
        </w:rPr>
        <w:t xml:space="preserve">pplication in accordance with Division 1 of Part 3 and has a draft </w:t>
      </w:r>
      <w:r w:rsidRPr="00C72AEF">
        <w:rPr>
          <w:rFonts w:eastAsia="Calibri" w:cs="Arial"/>
          <w:bCs/>
          <w:szCs w:val="22"/>
          <w:lang w:val="en-AU" w:bidi="ar-SA"/>
        </w:rPr>
        <w:t>variation.</w:t>
      </w:r>
    </w:p>
    <w:p w14:paraId="2D2699C9" w14:textId="4AC214AB" w:rsidR="00124E4B" w:rsidRPr="00124E4B" w:rsidRDefault="00124E4B" w:rsidP="00124E4B">
      <w:pPr>
        <w:widowControl/>
        <w:autoSpaceDE w:val="0"/>
        <w:autoSpaceDN w:val="0"/>
        <w:adjustRightInd w:val="0"/>
        <w:spacing w:before="240" w:after="240"/>
        <w:rPr>
          <w:rFonts w:eastAsia="Calibri" w:cs="Arial"/>
          <w:bCs/>
          <w:szCs w:val="22"/>
          <w:lang w:val="en-AU" w:bidi="ar-SA"/>
        </w:rPr>
      </w:pPr>
      <w:r w:rsidRPr="00124E4B">
        <w:rPr>
          <w:rFonts w:eastAsia="Calibri" w:cs="Arial"/>
          <w:bCs/>
          <w:szCs w:val="22"/>
          <w:lang w:val="en-AU" w:bidi="ar-SA"/>
        </w:rPr>
        <w:t>Following consideration by the Food Ministers’ Meeting (formerly the Australia and New Zealand Minist</w:t>
      </w:r>
      <w:r w:rsidR="00FA1923">
        <w:rPr>
          <w:rFonts w:eastAsia="Calibri" w:cs="Arial"/>
          <w:bCs/>
          <w:szCs w:val="22"/>
          <w:lang w:val="en-AU" w:bidi="ar-SA"/>
        </w:rPr>
        <w:t>erial Forum on Food Regulation)</w:t>
      </w:r>
      <w:r w:rsidR="00FA1923">
        <w:rPr>
          <w:rStyle w:val="FootnoteReference"/>
          <w:rFonts w:eastAsia="Calibri" w:cs="Arial"/>
          <w:bCs/>
          <w:szCs w:val="22"/>
          <w:lang w:val="en-AU" w:bidi="ar-SA"/>
        </w:rPr>
        <w:footnoteReference w:id="12"/>
      </w:r>
      <w:r w:rsidRPr="00124E4B">
        <w:rPr>
          <w:rFonts w:eastAsia="Calibri" w:cs="Arial"/>
          <w:bCs/>
          <w:szCs w:val="22"/>
          <w:lang w:val="en-AU" w:bidi="ar-SA"/>
        </w:rPr>
        <w:t xml:space="preserve">, section 92 of the FSANZ Act stipulates that the Authority must publish a notice about the standard or draft variation of a standard. </w:t>
      </w:r>
    </w:p>
    <w:p w14:paraId="309AFE79" w14:textId="700E8E6F" w:rsidR="0057711E" w:rsidRDefault="00124E4B" w:rsidP="00124E4B">
      <w:pPr>
        <w:widowControl/>
        <w:autoSpaceDE w:val="0"/>
        <w:autoSpaceDN w:val="0"/>
        <w:adjustRightInd w:val="0"/>
        <w:spacing w:before="240" w:after="240"/>
        <w:rPr>
          <w:rFonts w:eastAsia="Calibri" w:cs="Arial"/>
          <w:bCs/>
          <w:szCs w:val="22"/>
          <w:lang w:val="en-AU" w:bidi="ar-SA"/>
        </w:rPr>
      </w:pPr>
      <w:r w:rsidRPr="00124E4B">
        <w:rPr>
          <w:rFonts w:eastAsia="Calibri" w:cs="Arial"/>
          <w:bCs/>
          <w:szCs w:val="22"/>
          <w:lang w:val="en-AU" w:bidi="ar-SA"/>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14:paraId="37BC0011" w14:textId="4CBC8A7B" w:rsidR="00790FD8" w:rsidRPr="000372A4" w:rsidRDefault="00790FD8" w:rsidP="00790FD8">
      <w:pPr>
        <w:spacing w:before="240" w:after="240"/>
        <w:rPr>
          <w:b/>
          <w:lang w:val="en-AU" w:eastAsia="en-GB" w:bidi="ar-SA"/>
        </w:rPr>
      </w:pPr>
      <w:r w:rsidRPr="00C72AEF">
        <w:rPr>
          <w:b/>
          <w:lang w:val="en-AU" w:eastAsia="en-GB" w:bidi="ar-SA"/>
        </w:rPr>
        <w:t>2.</w:t>
      </w:r>
      <w:r w:rsidRPr="00C72AEF">
        <w:rPr>
          <w:b/>
          <w:lang w:val="en-AU" w:eastAsia="en-GB" w:bidi="ar-SA"/>
        </w:rPr>
        <w:tab/>
        <w:t xml:space="preserve">Purpose </w:t>
      </w:r>
    </w:p>
    <w:p w14:paraId="425B5455" w14:textId="0C025B62" w:rsidR="00790FD8" w:rsidRPr="000372A4" w:rsidRDefault="00790FD8" w:rsidP="00790FD8">
      <w:pPr>
        <w:spacing w:before="240" w:after="240"/>
        <w:rPr>
          <w:lang w:eastAsia="en-GB"/>
        </w:rPr>
      </w:pPr>
      <w:r w:rsidRPr="00C72AEF">
        <w:rPr>
          <w:lang w:eastAsia="en-GB"/>
        </w:rPr>
        <w:t>The purpose of the draft variation is to permit the sale</w:t>
      </w:r>
      <w:r>
        <w:rPr>
          <w:lang w:eastAsia="en-GB"/>
        </w:rPr>
        <w:t xml:space="preserve"> and use</w:t>
      </w:r>
      <w:r w:rsidRPr="00C72AEF">
        <w:rPr>
          <w:lang w:eastAsia="en-GB"/>
        </w:rPr>
        <w:t xml:space="preserve"> of food derived from </w:t>
      </w:r>
      <w:r w:rsidR="00E67342">
        <w:rPr>
          <w:lang w:eastAsia="en-GB"/>
        </w:rPr>
        <w:t>a new</w:t>
      </w:r>
      <w:r w:rsidR="0051141C">
        <w:rPr>
          <w:lang w:eastAsia="en-GB"/>
        </w:rPr>
        <w:t xml:space="preserve"> GM food:</w:t>
      </w:r>
      <w:r w:rsidRPr="00B36D0B">
        <w:rPr>
          <w:lang w:eastAsia="en-GB"/>
        </w:rPr>
        <w:t xml:space="preserve"> </w:t>
      </w:r>
      <w:r w:rsidRPr="00B36D0B">
        <w:rPr>
          <w:rFonts w:eastAsia="Calibri" w:cs="Arial"/>
          <w:bCs/>
          <w:szCs w:val="22"/>
          <w:lang w:val="en-AU" w:bidi="ar-SA"/>
        </w:rPr>
        <w:t>canola line MON94100</w:t>
      </w:r>
      <w:r w:rsidR="0051141C" w:rsidRPr="0051141C">
        <w:rPr>
          <w:lang w:eastAsia="en-GB"/>
        </w:rPr>
        <w:t xml:space="preserve"> which has been genetically modified for tolerance to the herbicide, dicamba</w:t>
      </w:r>
      <w:r w:rsidR="00A815B0">
        <w:rPr>
          <w:lang w:eastAsia="en-GB"/>
        </w:rPr>
        <w:t>.</w:t>
      </w:r>
    </w:p>
    <w:p w14:paraId="44BF17A5" w14:textId="77777777" w:rsidR="00790FD8" w:rsidRPr="000372A4" w:rsidRDefault="00790FD8" w:rsidP="00790FD8">
      <w:pPr>
        <w:spacing w:before="240" w:after="240"/>
        <w:rPr>
          <w:b/>
          <w:lang w:val="en-AU" w:eastAsia="en-GB" w:bidi="ar-SA"/>
        </w:rPr>
      </w:pPr>
      <w:r w:rsidRPr="00C72AEF">
        <w:rPr>
          <w:b/>
          <w:lang w:val="en-AU" w:eastAsia="en-GB" w:bidi="ar-SA"/>
        </w:rPr>
        <w:t>3.</w:t>
      </w:r>
      <w:r w:rsidRPr="00C72AEF">
        <w:rPr>
          <w:b/>
          <w:lang w:val="en-AU" w:eastAsia="en-GB" w:bidi="ar-SA"/>
        </w:rPr>
        <w:tab/>
        <w:t>Documents incorporated by reference</w:t>
      </w:r>
    </w:p>
    <w:p w14:paraId="71FAFBD1" w14:textId="77777777" w:rsidR="00790FD8" w:rsidRPr="000372A4" w:rsidRDefault="00790FD8" w:rsidP="00790FD8">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The variations to food regulatory measures do not incorporate any documents by reference.</w:t>
      </w:r>
    </w:p>
    <w:p w14:paraId="449B69D3" w14:textId="77777777" w:rsidR="00790FD8" w:rsidRPr="000372A4" w:rsidRDefault="00790FD8" w:rsidP="00790FD8">
      <w:pPr>
        <w:spacing w:before="240" w:after="240"/>
        <w:rPr>
          <w:b/>
          <w:lang w:val="en-AU" w:eastAsia="en-GB" w:bidi="ar-SA"/>
        </w:rPr>
      </w:pPr>
      <w:r w:rsidRPr="00C72AEF">
        <w:rPr>
          <w:b/>
          <w:lang w:val="en-AU" w:eastAsia="en-GB" w:bidi="ar-SA"/>
        </w:rPr>
        <w:t>4.</w:t>
      </w:r>
      <w:r w:rsidRPr="00C72AEF">
        <w:rPr>
          <w:b/>
          <w:lang w:val="en-AU" w:eastAsia="en-GB" w:bidi="ar-SA"/>
        </w:rPr>
        <w:tab/>
        <w:t>Consultation</w:t>
      </w:r>
    </w:p>
    <w:p w14:paraId="1937A8E2" w14:textId="5B10B0E7" w:rsidR="00790FD8" w:rsidRPr="000372A4" w:rsidRDefault="00790FD8" w:rsidP="00790FD8">
      <w:pPr>
        <w:spacing w:before="240" w:after="240"/>
        <w:rPr>
          <w:color w:val="FF0000"/>
          <w:lang w:val="en-AU"/>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 xml:space="preserve">pplication </w:t>
      </w:r>
      <w:r w:rsidRPr="00DC5B70">
        <w:rPr>
          <w:rFonts w:eastAsia="Calibri" w:cs="Arial"/>
          <w:bCs/>
          <w:szCs w:val="22"/>
          <w:lang w:val="en-AU" w:bidi="ar-SA"/>
        </w:rPr>
        <w:t>A1216</w:t>
      </w:r>
      <w:r w:rsidRPr="00C72AEF">
        <w:rPr>
          <w:rFonts w:eastAsia="Calibri" w:cs="Arial"/>
          <w:szCs w:val="22"/>
          <w:lang w:val="en-AU" w:bidi="ar-SA"/>
        </w:rPr>
        <w:t xml:space="preserve"> </w:t>
      </w:r>
      <w:r w:rsidRPr="00C72AEF">
        <w:rPr>
          <w:szCs w:val="22"/>
        </w:rPr>
        <w:t>include</w:t>
      </w:r>
      <w:r>
        <w:rPr>
          <w:szCs w:val="22"/>
        </w:rPr>
        <w:t>d</w:t>
      </w:r>
      <w:r w:rsidRPr="00C72AEF">
        <w:rPr>
          <w:szCs w:val="22"/>
        </w:rPr>
        <w:t xml:space="preserve"> one round of public consultation following an assessment and the preparation of a draft variation</w:t>
      </w:r>
      <w:r>
        <w:rPr>
          <w:szCs w:val="22"/>
        </w:rPr>
        <w:t xml:space="preserve"> and associated report</w:t>
      </w:r>
      <w:r w:rsidRPr="00C72AEF">
        <w:rPr>
          <w:szCs w:val="22"/>
        </w:rPr>
        <w:t>.</w:t>
      </w:r>
    </w:p>
    <w:p w14:paraId="0756A8CB" w14:textId="77777777" w:rsidR="00790FD8" w:rsidRPr="000372A4" w:rsidRDefault="00790FD8" w:rsidP="00790FD8">
      <w:pPr>
        <w:spacing w:before="240" w:after="240"/>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w:t>
      </w:r>
      <w:r>
        <w:rPr>
          <w:rFonts w:cs="Arial"/>
          <w:color w:val="000000" w:themeColor="text1"/>
        </w:rPr>
        <w:t>GM</w:t>
      </w:r>
      <w:r w:rsidRPr="00801000">
        <w:rPr>
          <w:rFonts w:cs="Arial"/>
          <w:color w:val="000000" w:themeColor="text1"/>
        </w:rPr>
        <w:t xml:space="preserve"> foods </w:t>
      </w:r>
      <w:r>
        <w:rPr>
          <w:rFonts w:cs="Arial"/>
          <w:color w:val="000000" w:themeColor="text1"/>
        </w:rPr>
        <w:t>(ref</w:t>
      </w:r>
      <w:r w:rsidRPr="00801000">
        <w:rPr>
          <w:rFonts w:cs="Arial"/>
          <w:color w:val="000000" w:themeColor="text1"/>
        </w:rPr>
        <w:t xml:space="preserve"> 12065).</w:t>
      </w:r>
      <w:r>
        <w:rPr>
          <w:rFonts w:cs="Arial"/>
          <w:color w:val="000000" w:themeColor="text1"/>
        </w:rPr>
        <w:t xml:space="preserve"> </w:t>
      </w:r>
      <w:r w:rsidRPr="00983D78">
        <w:t xml:space="preserve">This standing exemption was provided as varying Schedule 26 is a consequential change of maintaining a permitted schedule of GM foods. Additionally, permitting </w:t>
      </w:r>
      <w:r>
        <w:t xml:space="preserve">a </w:t>
      </w:r>
      <w:r w:rsidRPr="00983D78">
        <w:t xml:space="preserve">new GM food is deregulatory as using the </w:t>
      </w:r>
      <w:r>
        <w:t>food</w:t>
      </w:r>
      <w:r w:rsidRPr="00983D78">
        <w:t xml:space="preserve"> will be voluntary if the </w:t>
      </w:r>
      <w:r>
        <w:t>A</w:t>
      </w:r>
      <w:r w:rsidRPr="00983D78">
        <w:t xml:space="preserve">pplication </w:t>
      </w:r>
      <w:r>
        <w:t xml:space="preserve">concerned </w:t>
      </w:r>
      <w:r w:rsidRPr="00983D78">
        <w:t>is approved. This standing exemption relates to the introduction of a food to the food supply that has been determined to be safe</w:t>
      </w:r>
      <w:r>
        <w:t xml:space="preserve">. </w:t>
      </w:r>
    </w:p>
    <w:p w14:paraId="22961A30" w14:textId="77777777" w:rsidR="00790FD8" w:rsidRPr="000372A4" w:rsidRDefault="00790FD8" w:rsidP="00790FD8">
      <w:pPr>
        <w:widowControl/>
        <w:spacing w:before="240" w:after="240"/>
        <w:rPr>
          <w:rFonts w:eastAsiaTheme="minorHAnsi" w:cs="Arial"/>
          <w:b/>
          <w:bCs/>
          <w:szCs w:val="22"/>
          <w:lang w:val="en-AU" w:bidi="ar-SA"/>
        </w:rPr>
      </w:pPr>
      <w:r w:rsidRPr="00C72AEF">
        <w:rPr>
          <w:rFonts w:eastAsiaTheme="minorHAnsi" w:cs="Arial"/>
          <w:b/>
          <w:bCs/>
          <w:szCs w:val="22"/>
          <w:lang w:val="en-AU" w:bidi="ar-SA"/>
        </w:rPr>
        <w:t>5.</w:t>
      </w:r>
      <w:r w:rsidRPr="00C72AEF">
        <w:rPr>
          <w:rFonts w:eastAsiaTheme="minorHAnsi" w:cs="Arial"/>
          <w:b/>
          <w:bCs/>
          <w:szCs w:val="22"/>
          <w:lang w:val="en-AU" w:bidi="ar-SA"/>
        </w:rPr>
        <w:tab/>
        <w:t>Statement of compatibility with human rights</w:t>
      </w:r>
    </w:p>
    <w:p w14:paraId="73775DE1" w14:textId="77777777" w:rsidR="00790FD8" w:rsidRPr="00C72AEF" w:rsidRDefault="00790FD8" w:rsidP="00790FD8">
      <w:pPr>
        <w:spacing w:before="240" w:after="240"/>
        <w:rPr>
          <w:rFonts w:eastAsiaTheme="minorHAnsi"/>
          <w:lang w:val="en-AU" w:bidi="ar-SA"/>
        </w:rPr>
      </w:pPr>
      <w:r w:rsidRPr="00C72AEF">
        <w:rPr>
          <w:rFonts w:eastAsiaTheme="minorHAnsi"/>
          <w:lang w:val="en-AU" w:bidi="ar-SA"/>
        </w:rPr>
        <w:t>This instrument is exempt from the requirements for a statement of compatibility with human rights as it is a non-disallowable instrument under section 94 of the FSANZ Act.</w:t>
      </w:r>
    </w:p>
    <w:p w14:paraId="455974A7" w14:textId="77777777" w:rsidR="00790FD8" w:rsidRPr="000372A4" w:rsidRDefault="00790FD8" w:rsidP="00790FD8">
      <w:pPr>
        <w:spacing w:before="240" w:after="240"/>
        <w:rPr>
          <w:b/>
          <w:lang w:val="en-AU" w:eastAsia="en-GB" w:bidi="ar-SA"/>
        </w:rPr>
      </w:pPr>
      <w:r w:rsidRPr="00C72AEF">
        <w:rPr>
          <w:b/>
        </w:rPr>
        <w:lastRenderedPageBreak/>
        <w:t>6.</w:t>
      </w:r>
      <w:r w:rsidRPr="00C72AEF">
        <w:rPr>
          <w:b/>
        </w:rPr>
        <w:tab/>
      </w:r>
      <w:r w:rsidRPr="00C72AEF">
        <w:rPr>
          <w:b/>
          <w:lang w:val="en-AU" w:eastAsia="en-GB" w:bidi="ar-SA"/>
        </w:rPr>
        <w:t>Variation</w:t>
      </w:r>
    </w:p>
    <w:p w14:paraId="13DD0483" w14:textId="77777777" w:rsidR="00790FD8" w:rsidRDefault="00790FD8" w:rsidP="00790FD8">
      <w:pPr>
        <w:spacing w:before="240" w:after="240"/>
      </w:pPr>
      <w:r w:rsidRPr="004308F5">
        <w:rPr>
          <w:b/>
        </w:rPr>
        <w:t>Item [1]</w:t>
      </w:r>
      <w:r w:rsidRPr="00C72AEF">
        <w:t xml:space="preserve"> </w:t>
      </w:r>
      <w:r>
        <w:t xml:space="preserve">amends Schedule 26 by </w:t>
      </w:r>
      <w:r w:rsidRPr="00C72AEF">
        <w:t>insert</w:t>
      </w:r>
      <w:r>
        <w:t>ing</w:t>
      </w:r>
      <w:r w:rsidRPr="00C72AEF">
        <w:t xml:space="preserve"> new paragraph (</w:t>
      </w:r>
      <w:r>
        <w:t>h) into item 1</w:t>
      </w:r>
      <w:r w:rsidRPr="00C72AEF">
        <w:t xml:space="preserve"> </w:t>
      </w:r>
      <w:r>
        <w:t>of</w:t>
      </w:r>
      <w:r w:rsidRPr="00C72AEF">
        <w:t xml:space="preserve"> the table to subsection S26—3(4) in Schedule 26</w:t>
      </w:r>
      <w:r>
        <w:t xml:space="preserve"> in alphabetical order</w:t>
      </w:r>
      <w:r w:rsidRPr="00C72AEF">
        <w:t xml:space="preserve">. </w:t>
      </w:r>
    </w:p>
    <w:p w14:paraId="2102C0E7" w14:textId="77777777" w:rsidR="00790FD8" w:rsidRDefault="00790FD8" w:rsidP="00790FD8">
      <w:pPr>
        <w:spacing w:before="240" w:after="240"/>
        <w:rPr>
          <w:lang w:val="en-AU"/>
        </w:rPr>
      </w:pPr>
      <w:r w:rsidRPr="00C72AEF">
        <w:t>The new paragraph refers to herbicide-tolerant</w:t>
      </w:r>
      <w:r>
        <w:t xml:space="preserve"> </w:t>
      </w:r>
      <w:r w:rsidRPr="00B36D0B">
        <w:rPr>
          <w:rFonts w:eastAsia="Calibri" w:cs="Arial"/>
          <w:bCs/>
          <w:szCs w:val="22"/>
          <w:lang w:val="en-AU" w:bidi="ar-SA"/>
        </w:rPr>
        <w:t>canola line MON94100</w:t>
      </w:r>
      <w:r w:rsidRPr="00B36D0B">
        <w:t>.</w:t>
      </w:r>
      <w:r w:rsidRPr="00C72AEF">
        <w:rPr>
          <w:lang w:val="en-AU"/>
        </w:rPr>
        <w:t xml:space="preserve"> </w:t>
      </w:r>
    </w:p>
    <w:p w14:paraId="01AF10F3" w14:textId="77777777" w:rsidR="00790FD8" w:rsidRDefault="00790FD8" w:rsidP="00790FD8">
      <w:pPr>
        <w:spacing w:before="240" w:after="240"/>
        <w:rPr>
          <w:lang w:val="en-AU"/>
        </w:rPr>
      </w:pPr>
      <w:r>
        <w:rPr>
          <w:rFonts w:eastAsia="Calibri" w:cs="Arial"/>
          <w:bCs/>
          <w:szCs w:val="22"/>
          <w:lang w:val="en-AU" w:bidi="ar-SA"/>
        </w:rPr>
        <w:t>C</w:t>
      </w:r>
      <w:r w:rsidRPr="00B36D0B">
        <w:rPr>
          <w:rFonts w:eastAsia="Calibri" w:cs="Arial"/>
          <w:bCs/>
          <w:szCs w:val="22"/>
          <w:lang w:val="en-AU" w:bidi="ar-SA"/>
        </w:rPr>
        <w:t>anola line MON94100</w:t>
      </w:r>
      <w:r>
        <w:rPr>
          <w:rFonts w:eastAsia="Calibri" w:cs="Arial"/>
          <w:bCs/>
          <w:szCs w:val="22"/>
          <w:lang w:val="en-AU" w:bidi="ar-SA"/>
        </w:rPr>
        <w:t xml:space="preserve"> has been </w:t>
      </w:r>
      <w:r>
        <w:rPr>
          <w:lang w:val="en-AU"/>
        </w:rPr>
        <w:t>genetically modified for</w:t>
      </w:r>
      <w:r w:rsidRPr="001000D7">
        <w:rPr>
          <w:lang w:val="en-AU"/>
        </w:rPr>
        <w:t xml:space="preserve"> tolerance to</w:t>
      </w:r>
      <w:r>
        <w:rPr>
          <w:lang w:val="en-AU"/>
        </w:rPr>
        <w:t xml:space="preserve"> </w:t>
      </w:r>
      <w:r>
        <w:rPr>
          <w:lang w:bidi="ar-SA"/>
        </w:rPr>
        <w:t>the herbicide, dicamba.</w:t>
      </w:r>
    </w:p>
    <w:p w14:paraId="3429E224" w14:textId="77777777" w:rsidR="00790FD8" w:rsidRPr="000372A4" w:rsidRDefault="00790FD8" w:rsidP="00790FD8">
      <w:pPr>
        <w:spacing w:before="240" w:after="240"/>
      </w:pPr>
      <w:r w:rsidRPr="00C72AEF">
        <w:rPr>
          <w:lang w:val="en-AU"/>
        </w:rPr>
        <w:t xml:space="preserve">The effect of the variation is to permit </w:t>
      </w:r>
      <w:r w:rsidRPr="00C72AEF">
        <w:t>the sale</w:t>
      </w:r>
      <w:r>
        <w:t xml:space="preserve"> and use</w:t>
      </w:r>
      <w:r w:rsidRPr="00C72AEF">
        <w:t xml:space="preserve"> of food derived from that </w:t>
      </w:r>
      <w:r>
        <w:t>canola</w:t>
      </w:r>
      <w:r w:rsidRPr="00C72AEF">
        <w:t xml:space="preserve"> line</w:t>
      </w:r>
      <w:r w:rsidRPr="00C72AEF">
        <w:rPr>
          <w:lang w:val="en-AU"/>
        </w:rPr>
        <w:t xml:space="preserve"> in accordance with </w:t>
      </w:r>
      <w:r>
        <w:rPr>
          <w:lang w:val="en-AU"/>
        </w:rPr>
        <w:t>the Code</w:t>
      </w:r>
      <w:r w:rsidRPr="00C72AEF">
        <w:t>.</w:t>
      </w:r>
    </w:p>
    <w:p w14:paraId="2707DBF8" w14:textId="1AA995AE" w:rsidR="0012388D" w:rsidRDefault="0012388D" w:rsidP="00790FD8">
      <w:pPr>
        <w:pStyle w:val="Heading2"/>
        <w:ind w:left="0" w:firstLine="0"/>
      </w:pPr>
    </w:p>
    <w:sectPr w:rsidR="0012388D" w:rsidSect="00C9038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45F5" w14:textId="77777777" w:rsidR="000E2B05" w:rsidRDefault="000E2B05">
      <w:r>
        <w:separator/>
      </w:r>
    </w:p>
    <w:p w14:paraId="1758B135" w14:textId="77777777" w:rsidR="000E2B05" w:rsidRDefault="000E2B05"/>
  </w:endnote>
  <w:endnote w:type="continuationSeparator" w:id="0">
    <w:p w14:paraId="6072E30D" w14:textId="77777777" w:rsidR="000E2B05" w:rsidRDefault="000E2B05">
      <w:r>
        <w:continuationSeparator/>
      </w:r>
    </w:p>
    <w:p w14:paraId="327D5E63" w14:textId="77777777" w:rsidR="000E2B05" w:rsidRDefault="000E2B05"/>
  </w:endnote>
  <w:endnote w:type="continuationNotice" w:id="1">
    <w:p w14:paraId="63F7FDCB" w14:textId="77777777" w:rsidR="000E2B05" w:rsidRDefault="000E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1ADC" w14:textId="0F6DAF7D" w:rsidR="000E2B05" w:rsidRDefault="000E2B05" w:rsidP="00C9038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1CE5059" w14:textId="77777777" w:rsidR="000E2B05" w:rsidRDefault="000E2B05" w:rsidP="0084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726A6BE3" w14:textId="21AC540D" w:rsidR="000E2B05" w:rsidRDefault="00C90381"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45D4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5D45">
          <w:rPr>
            <w:b/>
            <w:bCs/>
            <w:noProof/>
          </w:rPr>
          <w:t>16</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29DB4" w14:textId="77777777" w:rsidR="000E2B05" w:rsidRDefault="000E2B05">
      <w:r>
        <w:separator/>
      </w:r>
    </w:p>
  </w:footnote>
  <w:footnote w:type="continuationSeparator" w:id="0">
    <w:p w14:paraId="7BC1BC79" w14:textId="77777777" w:rsidR="000E2B05" w:rsidRDefault="000E2B05">
      <w:r>
        <w:continuationSeparator/>
      </w:r>
    </w:p>
  </w:footnote>
  <w:footnote w:type="continuationNotice" w:id="1">
    <w:p w14:paraId="0BFAC533" w14:textId="77777777" w:rsidR="000E2B05" w:rsidRDefault="000E2B05"/>
  </w:footnote>
  <w:footnote w:id="2">
    <w:p w14:paraId="5DDC81FC" w14:textId="2590266B" w:rsidR="000E2B05" w:rsidRPr="004D6AFE" w:rsidRDefault="000E2B05">
      <w:pPr>
        <w:pStyle w:val="FootnoteText"/>
        <w:rPr>
          <w:lang w:val="en-AU"/>
        </w:rPr>
      </w:pPr>
      <w:r>
        <w:rPr>
          <w:rStyle w:val="FootnoteReference"/>
        </w:rPr>
        <w:footnoteRef/>
      </w:r>
      <w:r>
        <w:t xml:space="preserve"> </w:t>
      </w:r>
      <w:hyperlink r:id="rId1" w:history="1">
        <w:r w:rsidRPr="009F1219">
          <w:rPr>
            <w:rStyle w:val="Hyperlink"/>
          </w:rPr>
          <w:t>https://www.foodstandards.gov.au/code/applications/Pages/A1216.aspx</w:t>
        </w:r>
      </w:hyperlink>
      <w:r>
        <w:t xml:space="preserve"> </w:t>
      </w:r>
    </w:p>
  </w:footnote>
  <w:footnote w:id="3">
    <w:p w14:paraId="003E91E6" w14:textId="77777777" w:rsidR="000E2B05" w:rsidRPr="00EC5E58" w:rsidRDefault="000E2B05" w:rsidP="00F41ACB">
      <w:pPr>
        <w:pStyle w:val="FootnoteText"/>
        <w:rPr>
          <w:lang w:val="en-AU"/>
        </w:rPr>
      </w:pPr>
      <w:r>
        <w:rPr>
          <w:rStyle w:val="FootnoteReference"/>
        </w:rPr>
        <w:footnoteRef/>
      </w:r>
      <w:r>
        <w:t xml:space="preserve"> </w:t>
      </w:r>
      <w:hyperlink r:id="rId2" w:history="1">
        <w:r w:rsidRPr="00721A51">
          <w:rPr>
            <w:rStyle w:val="Hyperlink"/>
            <w:sz w:val="18"/>
            <w:szCs w:val="18"/>
          </w:rPr>
          <w:t>https://www.foodstandards.gov.au/science/international/Pages/gm-food-safety.aspx</w:t>
        </w:r>
      </w:hyperlink>
      <w:r w:rsidRPr="00721A51">
        <w:rPr>
          <w:sz w:val="18"/>
          <w:szCs w:val="18"/>
        </w:rPr>
        <w:t xml:space="preserve"> </w:t>
      </w:r>
    </w:p>
  </w:footnote>
  <w:footnote w:id="4">
    <w:p w14:paraId="23A5B5FF" w14:textId="77777777" w:rsidR="000E2B05" w:rsidRDefault="000E2B05" w:rsidP="00587F1B">
      <w:pPr>
        <w:pStyle w:val="FootnoteText"/>
        <w:rPr>
          <w:sz w:val="18"/>
          <w:szCs w:val="18"/>
        </w:rPr>
      </w:pPr>
      <w:r>
        <w:rPr>
          <w:rStyle w:val="FootnoteReference"/>
        </w:rPr>
        <w:footnoteRef/>
      </w:r>
      <w:r>
        <w:t xml:space="preserve"> </w:t>
      </w:r>
      <w:r w:rsidRPr="00E57724">
        <w:rPr>
          <w:sz w:val="18"/>
          <w:szCs w:val="18"/>
        </w:rPr>
        <w:t xml:space="preserve">Section 1.5.2—4(5) defines </w:t>
      </w:r>
      <w:r w:rsidRPr="00E57724">
        <w:rPr>
          <w:b/>
          <w:i/>
          <w:sz w:val="18"/>
          <w:szCs w:val="18"/>
        </w:rPr>
        <w:t>genetically modified food</w:t>
      </w:r>
      <w:r w:rsidRPr="00E57724">
        <w:rPr>
          <w:sz w:val="18"/>
          <w:szCs w:val="18"/>
        </w:rPr>
        <w:t xml:space="preserve"> to mean a *food produced using gene technology that</w:t>
      </w:r>
      <w:r>
        <w:rPr>
          <w:sz w:val="18"/>
          <w:szCs w:val="18"/>
        </w:rPr>
        <w:t xml:space="preserve"> </w:t>
      </w:r>
    </w:p>
    <w:p w14:paraId="2743C364" w14:textId="77777777" w:rsidR="000E2B05" w:rsidRDefault="000E2B05" w:rsidP="00DA525E">
      <w:pPr>
        <w:pStyle w:val="FootnoteText"/>
        <w:numPr>
          <w:ilvl w:val="0"/>
          <w:numId w:val="6"/>
        </w:numPr>
        <w:rPr>
          <w:sz w:val="18"/>
          <w:szCs w:val="18"/>
        </w:rPr>
      </w:pPr>
      <w:r w:rsidRPr="00E57724">
        <w:rPr>
          <w:sz w:val="18"/>
          <w:szCs w:val="18"/>
        </w:rPr>
        <w:t>contains novel DNA or novel protein; or</w:t>
      </w:r>
    </w:p>
    <w:p w14:paraId="6DAB9F4E" w14:textId="77777777" w:rsidR="000E2B05" w:rsidRPr="00E57724" w:rsidRDefault="000E2B05" w:rsidP="00DA525E">
      <w:pPr>
        <w:pStyle w:val="FootnoteText"/>
        <w:numPr>
          <w:ilvl w:val="0"/>
          <w:numId w:val="6"/>
        </w:numPr>
        <w:rPr>
          <w:iCs/>
          <w:sz w:val="18"/>
          <w:szCs w:val="18"/>
        </w:rPr>
      </w:pPr>
      <w:r w:rsidRPr="00E57724">
        <w:rPr>
          <w:iCs/>
          <w:sz w:val="18"/>
          <w:szCs w:val="18"/>
        </w:rPr>
        <w:t>is listed in Section S26—3 as subject to the condition that its labelling must comply with this section (</w:t>
      </w:r>
      <w:r w:rsidRPr="00E57724">
        <w:rPr>
          <w:i/>
          <w:iCs/>
          <w:sz w:val="18"/>
          <w:szCs w:val="18"/>
        </w:rPr>
        <w:t>that being section 1.5.2—4</w:t>
      </w:r>
      <w:r w:rsidRPr="00E57724">
        <w:rPr>
          <w:iCs/>
          <w:sz w:val="18"/>
          <w:szCs w:val="18"/>
        </w:rPr>
        <w:t>).</w:t>
      </w:r>
    </w:p>
    <w:p w14:paraId="6C0B5437" w14:textId="77777777" w:rsidR="000E2B05" w:rsidRPr="00D165D2" w:rsidRDefault="000E2B05" w:rsidP="00587F1B">
      <w:pPr>
        <w:pStyle w:val="FootnoteText"/>
        <w:rPr>
          <w:lang w:val="en-AU"/>
        </w:rPr>
      </w:pPr>
    </w:p>
  </w:footnote>
  <w:footnote w:id="5">
    <w:p w14:paraId="7754F20C" w14:textId="77777777" w:rsidR="000E2B05" w:rsidRPr="009D3032" w:rsidRDefault="000E2B05" w:rsidP="00DA525E">
      <w:pPr>
        <w:pStyle w:val="FootnoteText"/>
        <w:rPr>
          <w:lang w:val="en-AU"/>
        </w:rPr>
      </w:pPr>
      <w:r>
        <w:rPr>
          <w:rStyle w:val="FootnoteReference"/>
        </w:rPr>
        <w:footnoteRef/>
      </w:r>
      <w:r>
        <w:t xml:space="preserve"> </w:t>
      </w:r>
      <w:hyperlink r:id="rId3" w:history="1">
        <w:r w:rsidRPr="00BA7E2A">
          <w:rPr>
            <w:rStyle w:val="Hyperlink"/>
            <w:sz w:val="18"/>
          </w:rPr>
          <w:t>https://www.canada.ca/en/health-canada/services/food-nutrition/genetically-modified-foods-other-novel-foods/safety.html</w:t>
        </w:r>
      </w:hyperlink>
      <w:r w:rsidRPr="00BA7E2A">
        <w:rPr>
          <w:sz w:val="18"/>
        </w:rPr>
        <w:t xml:space="preserve"> </w:t>
      </w:r>
    </w:p>
  </w:footnote>
  <w:footnote w:id="6">
    <w:p w14:paraId="10D69ED0" w14:textId="77777777" w:rsidR="000E2B05" w:rsidRPr="00CB09AB" w:rsidRDefault="000E2B05" w:rsidP="00DA525E">
      <w:pPr>
        <w:pStyle w:val="FootnoteText"/>
        <w:rPr>
          <w:lang w:val="en-AU"/>
        </w:rPr>
      </w:pPr>
      <w:r>
        <w:rPr>
          <w:rStyle w:val="FootnoteReference"/>
        </w:rPr>
        <w:footnoteRef/>
      </w:r>
      <w:r>
        <w:t xml:space="preserve"> </w:t>
      </w:r>
      <w:hyperlink r:id="rId4" w:history="1">
        <w:r w:rsidRPr="004F34D9">
          <w:rPr>
            <w:rStyle w:val="Hyperlink"/>
            <w:sz w:val="18"/>
            <w:szCs w:val="18"/>
          </w:rPr>
          <w:t>https://www.foodstandards.gov.au/code/changes/pages/applicationshandbook.aspx</w:t>
        </w:r>
      </w:hyperlink>
      <w:r>
        <w:rPr>
          <w:sz w:val="18"/>
          <w:szCs w:val="18"/>
        </w:rPr>
        <w:t xml:space="preserve"> </w:t>
      </w:r>
    </w:p>
  </w:footnote>
  <w:footnote w:id="7">
    <w:p w14:paraId="2AA06F00" w14:textId="77777777" w:rsidR="000E2B05" w:rsidRPr="00226CD9" w:rsidRDefault="000E2B05" w:rsidP="00A03E8E">
      <w:pPr>
        <w:pStyle w:val="FootnoteText"/>
        <w:rPr>
          <w:lang w:val="en-AU"/>
        </w:rPr>
      </w:pPr>
      <w:r>
        <w:rPr>
          <w:rStyle w:val="FootnoteReference"/>
        </w:rPr>
        <w:footnoteRef/>
      </w:r>
      <w:r>
        <w:t xml:space="preserve"> </w:t>
      </w:r>
      <w:r>
        <w:rPr>
          <w:sz w:val="18"/>
          <w:szCs w:val="18"/>
        </w:rPr>
        <w:t>U</w:t>
      </w:r>
      <w:r w:rsidRPr="009E6FD1">
        <w:rPr>
          <w:sz w:val="18"/>
          <w:szCs w:val="18"/>
        </w:rPr>
        <w:t>nprocessed viable canola seeds would require other approvals before they c</w:t>
      </w:r>
      <w:r>
        <w:rPr>
          <w:sz w:val="18"/>
          <w:szCs w:val="18"/>
        </w:rPr>
        <w:t>an</w:t>
      </w:r>
      <w:r w:rsidRPr="009E6FD1">
        <w:rPr>
          <w:sz w:val="18"/>
          <w:szCs w:val="18"/>
        </w:rPr>
        <w:t xml:space="preserve"> be sold in Australia and New Zealand</w:t>
      </w:r>
      <w:r>
        <w:rPr>
          <w:sz w:val="18"/>
          <w:szCs w:val="18"/>
        </w:rPr>
        <w:t xml:space="preserve"> (refer to section 1.2)</w:t>
      </w:r>
      <w:r w:rsidRPr="009E6FD1">
        <w:rPr>
          <w:sz w:val="18"/>
          <w:szCs w:val="18"/>
        </w:rPr>
        <w:t>.</w:t>
      </w:r>
    </w:p>
  </w:footnote>
  <w:footnote w:id="8">
    <w:p w14:paraId="5C40F6EE" w14:textId="77777777" w:rsidR="000E2B05" w:rsidRDefault="000E2B05" w:rsidP="00520953">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9">
    <w:p w14:paraId="493184A5" w14:textId="77777777" w:rsidR="000E2B05" w:rsidRPr="00020DA1" w:rsidRDefault="000E2B05" w:rsidP="00520953">
      <w:pPr>
        <w:pStyle w:val="FootnoteText"/>
        <w:rPr>
          <w:lang w:val="en-AU"/>
        </w:rPr>
      </w:pPr>
      <w:r>
        <w:rPr>
          <w:rStyle w:val="FootnoteReference"/>
        </w:rPr>
        <w:footnoteRef/>
      </w:r>
      <w:r>
        <w:t xml:space="preserve"> </w:t>
      </w:r>
      <w:hyperlink r:id="rId5" w:history="1">
        <w:r w:rsidRPr="00721A51">
          <w:rPr>
            <w:rStyle w:val="Hyperlink"/>
            <w:sz w:val="18"/>
            <w:szCs w:val="18"/>
          </w:rPr>
          <w:t>https://www.foodstandards.gov.au/science/international/Pages/gm-food-safety.aspx</w:t>
        </w:r>
      </w:hyperlink>
    </w:p>
  </w:footnote>
  <w:footnote w:id="10">
    <w:p w14:paraId="6FD8062C" w14:textId="0812A821" w:rsidR="000E2B05" w:rsidRPr="001924DD" w:rsidRDefault="000E2B05">
      <w:pPr>
        <w:pStyle w:val="FootnoteText"/>
        <w:rPr>
          <w:lang w:val="en-AU"/>
        </w:rPr>
      </w:pPr>
      <w:r>
        <w:rPr>
          <w:rStyle w:val="FootnoteReference"/>
        </w:rPr>
        <w:footnoteRef/>
      </w:r>
      <w:r>
        <w:t xml:space="preserve"> </w:t>
      </w:r>
      <w:hyperlink r:id="rId6" w:history="1">
        <w:r w:rsidRPr="001924DD">
          <w:rPr>
            <w:rStyle w:val="Hyperlink"/>
            <w:sz w:val="18"/>
            <w:szCs w:val="18"/>
          </w:rPr>
          <w:t>https://www.foodstandards.gov.au/code/applications/Pages/A1216.aspx</w:t>
        </w:r>
      </w:hyperlink>
      <w:r>
        <w:t xml:space="preserve"> </w:t>
      </w:r>
    </w:p>
  </w:footnote>
  <w:footnote w:id="11">
    <w:p w14:paraId="6A9649B1" w14:textId="72AA97CE" w:rsidR="000E2B05" w:rsidRPr="0001633E" w:rsidRDefault="000E2B05">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 w:id="12">
    <w:p w14:paraId="129FBD4A" w14:textId="6CE695D3" w:rsidR="000E2B05" w:rsidRPr="004308F5" w:rsidRDefault="000E2B05">
      <w:pPr>
        <w:pStyle w:val="FootnoteText"/>
        <w:rPr>
          <w:lang w:val="en-AU"/>
        </w:rPr>
      </w:pPr>
      <w:r>
        <w:rPr>
          <w:rStyle w:val="FootnoteReference"/>
        </w:rPr>
        <w:footnoteRef/>
      </w:r>
      <w:r>
        <w:t xml:space="preserve"> </w:t>
      </w:r>
      <w:r w:rsidRPr="00FA1923">
        <w:t>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6BBF" w14:textId="22C87D08" w:rsidR="000E2B05" w:rsidRDefault="000E2B0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DE2029"/>
    <w:multiLevelType w:val="hybridMultilevel"/>
    <w:tmpl w:val="D6B0D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8"/>
  </w:num>
  <w:num w:numId="6">
    <w:abstractNumId w:val="0"/>
  </w:num>
  <w:num w:numId="7">
    <w:abstractNumId w:val="2"/>
  </w:num>
  <w:num w:numId="8">
    <w:abstractNumId w:val="10"/>
  </w:num>
  <w:num w:numId="9">
    <w:abstractNumId w:val="7"/>
  </w:num>
  <w:num w:numId="10">
    <w:abstractNumId w:val="3"/>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03"/>
    <w:rsid w:val="0000247B"/>
    <w:rsid w:val="0000469B"/>
    <w:rsid w:val="00010E79"/>
    <w:rsid w:val="00011187"/>
    <w:rsid w:val="00014E34"/>
    <w:rsid w:val="0001633E"/>
    <w:rsid w:val="00023288"/>
    <w:rsid w:val="000332AE"/>
    <w:rsid w:val="00035FF3"/>
    <w:rsid w:val="000418F0"/>
    <w:rsid w:val="00051021"/>
    <w:rsid w:val="000524F0"/>
    <w:rsid w:val="00052D54"/>
    <w:rsid w:val="000576EB"/>
    <w:rsid w:val="00064B2D"/>
    <w:rsid w:val="00065F1F"/>
    <w:rsid w:val="00070E62"/>
    <w:rsid w:val="00076D33"/>
    <w:rsid w:val="00076D3B"/>
    <w:rsid w:val="00077859"/>
    <w:rsid w:val="00077AEA"/>
    <w:rsid w:val="00080062"/>
    <w:rsid w:val="00081B0A"/>
    <w:rsid w:val="00084B75"/>
    <w:rsid w:val="00086129"/>
    <w:rsid w:val="000A0E8D"/>
    <w:rsid w:val="000A3D8B"/>
    <w:rsid w:val="000A5E99"/>
    <w:rsid w:val="000B427A"/>
    <w:rsid w:val="000B6AF2"/>
    <w:rsid w:val="000D02A2"/>
    <w:rsid w:val="000D6FD4"/>
    <w:rsid w:val="000D7B1C"/>
    <w:rsid w:val="000E0AE4"/>
    <w:rsid w:val="000E1EA4"/>
    <w:rsid w:val="000E2948"/>
    <w:rsid w:val="000E2B05"/>
    <w:rsid w:val="000E3DBC"/>
    <w:rsid w:val="000E662F"/>
    <w:rsid w:val="000F3CFE"/>
    <w:rsid w:val="000F6568"/>
    <w:rsid w:val="00102819"/>
    <w:rsid w:val="00104544"/>
    <w:rsid w:val="0010778D"/>
    <w:rsid w:val="001122EC"/>
    <w:rsid w:val="00115B57"/>
    <w:rsid w:val="00116AB6"/>
    <w:rsid w:val="0012388D"/>
    <w:rsid w:val="00124E4B"/>
    <w:rsid w:val="00136B57"/>
    <w:rsid w:val="00150B54"/>
    <w:rsid w:val="0015187A"/>
    <w:rsid w:val="00166AB6"/>
    <w:rsid w:val="00166E90"/>
    <w:rsid w:val="001723AD"/>
    <w:rsid w:val="00182C4C"/>
    <w:rsid w:val="0018718A"/>
    <w:rsid w:val="001878C5"/>
    <w:rsid w:val="001924DD"/>
    <w:rsid w:val="001936FC"/>
    <w:rsid w:val="0019399D"/>
    <w:rsid w:val="00194E51"/>
    <w:rsid w:val="00197D8D"/>
    <w:rsid w:val="001A0175"/>
    <w:rsid w:val="001A1A75"/>
    <w:rsid w:val="001A7E9A"/>
    <w:rsid w:val="001C27A3"/>
    <w:rsid w:val="001D037A"/>
    <w:rsid w:val="001D43F6"/>
    <w:rsid w:val="001E09FA"/>
    <w:rsid w:val="001F7F63"/>
    <w:rsid w:val="00202A6F"/>
    <w:rsid w:val="00212361"/>
    <w:rsid w:val="0022197C"/>
    <w:rsid w:val="00221D07"/>
    <w:rsid w:val="00224E3B"/>
    <w:rsid w:val="00227E4A"/>
    <w:rsid w:val="002421C1"/>
    <w:rsid w:val="00250197"/>
    <w:rsid w:val="0026387E"/>
    <w:rsid w:val="002758A0"/>
    <w:rsid w:val="0029204E"/>
    <w:rsid w:val="00292AC8"/>
    <w:rsid w:val="00292B9B"/>
    <w:rsid w:val="002A0194"/>
    <w:rsid w:val="002A5F8B"/>
    <w:rsid w:val="002A6E56"/>
    <w:rsid w:val="002A7F6C"/>
    <w:rsid w:val="002B0071"/>
    <w:rsid w:val="002B7D35"/>
    <w:rsid w:val="002C1A3B"/>
    <w:rsid w:val="002D4412"/>
    <w:rsid w:val="002E16D5"/>
    <w:rsid w:val="002E1820"/>
    <w:rsid w:val="002E44E4"/>
    <w:rsid w:val="002F1C90"/>
    <w:rsid w:val="002F35EA"/>
    <w:rsid w:val="002F6488"/>
    <w:rsid w:val="00305C54"/>
    <w:rsid w:val="0031016C"/>
    <w:rsid w:val="00312DC6"/>
    <w:rsid w:val="00313752"/>
    <w:rsid w:val="0031426B"/>
    <w:rsid w:val="003213F9"/>
    <w:rsid w:val="00323AB6"/>
    <w:rsid w:val="00323DBF"/>
    <w:rsid w:val="00327867"/>
    <w:rsid w:val="00330ED4"/>
    <w:rsid w:val="003320DB"/>
    <w:rsid w:val="00332B12"/>
    <w:rsid w:val="00333137"/>
    <w:rsid w:val="00337CBC"/>
    <w:rsid w:val="0034218C"/>
    <w:rsid w:val="003428FC"/>
    <w:rsid w:val="00346622"/>
    <w:rsid w:val="003507DB"/>
    <w:rsid w:val="00351B07"/>
    <w:rsid w:val="0036533D"/>
    <w:rsid w:val="00371B29"/>
    <w:rsid w:val="00374825"/>
    <w:rsid w:val="003766F8"/>
    <w:rsid w:val="00380106"/>
    <w:rsid w:val="003814F0"/>
    <w:rsid w:val="00381E07"/>
    <w:rsid w:val="00385788"/>
    <w:rsid w:val="00391769"/>
    <w:rsid w:val="003953E1"/>
    <w:rsid w:val="003956B3"/>
    <w:rsid w:val="003A0A4D"/>
    <w:rsid w:val="003A3D30"/>
    <w:rsid w:val="003A68BE"/>
    <w:rsid w:val="003A7B84"/>
    <w:rsid w:val="003C2214"/>
    <w:rsid w:val="003C4969"/>
    <w:rsid w:val="003D2CDC"/>
    <w:rsid w:val="003D3943"/>
    <w:rsid w:val="003E41D5"/>
    <w:rsid w:val="003E46BA"/>
    <w:rsid w:val="003E4A0B"/>
    <w:rsid w:val="003F0B73"/>
    <w:rsid w:val="003F74C1"/>
    <w:rsid w:val="00401ADE"/>
    <w:rsid w:val="00402282"/>
    <w:rsid w:val="00405480"/>
    <w:rsid w:val="00405B1A"/>
    <w:rsid w:val="00410C76"/>
    <w:rsid w:val="00411907"/>
    <w:rsid w:val="00417EE3"/>
    <w:rsid w:val="004207EB"/>
    <w:rsid w:val="00421730"/>
    <w:rsid w:val="00421782"/>
    <w:rsid w:val="00422EC9"/>
    <w:rsid w:val="00423AC7"/>
    <w:rsid w:val="004308F5"/>
    <w:rsid w:val="00432A42"/>
    <w:rsid w:val="00437276"/>
    <w:rsid w:val="00437942"/>
    <w:rsid w:val="00440877"/>
    <w:rsid w:val="0044353B"/>
    <w:rsid w:val="004520B0"/>
    <w:rsid w:val="00453646"/>
    <w:rsid w:val="00456B54"/>
    <w:rsid w:val="00456BD5"/>
    <w:rsid w:val="00464643"/>
    <w:rsid w:val="00486793"/>
    <w:rsid w:val="00486C66"/>
    <w:rsid w:val="00494A3F"/>
    <w:rsid w:val="004A2037"/>
    <w:rsid w:val="004A793C"/>
    <w:rsid w:val="004B047B"/>
    <w:rsid w:val="004B4CDC"/>
    <w:rsid w:val="004D121E"/>
    <w:rsid w:val="004D1B1C"/>
    <w:rsid w:val="004D6AFE"/>
    <w:rsid w:val="004D6CE0"/>
    <w:rsid w:val="004F3503"/>
    <w:rsid w:val="004F4F98"/>
    <w:rsid w:val="004F69F6"/>
    <w:rsid w:val="004F79AC"/>
    <w:rsid w:val="00506E9B"/>
    <w:rsid w:val="0051141C"/>
    <w:rsid w:val="00517375"/>
    <w:rsid w:val="005207D8"/>
    <w:rsid w:val="00520953"/>
    <w:rsid w:val="00523930"/>
    <w:rsid w:val="005244F1"/>
    <w:rsid w:val="00537CDC"/>
    <w:rsid w:val="00544F62"/>
    <w:rsid w:val="00560185"/>
    <w:rsid w:val="00562917"/>
    <w:rsid w:val="00571B8C"/>
    <w:rsid w:val="0057711E"/>
    <w:rsid w:val="00577A76"/>
    <w:rsid w:val="00580DDF"/>
    <w:rsid w:val="005811B7"/>
    <w:rsid w:val="00586228"/>
    <w:rsid w:val="005873D1"/>
    <w:rsid w:val="00587F1B"/>
    <w:rsid w:val="00587FEE"/>
    <w:rsid w:val="005946D3"/>
    <w:rsid w:val="00597631"/>
    <w:rsid w:val="005A01C0"/>
    <w:rsid w:val="005A572E"/>
    <w:rsid w:val="005B084E"/>
    <w:rsid w:val="005B6AF4"/>
    <w:rsid w:val="005C04CB"/>
    <w:rsid w:val="005C3085"/>
    <w:rsid w:val="005D16AD"/>
    <w:rsid w:val="005D2016"/>
    <w:rsid w:val="005D72E1"/>
    <w:rsid w:val="005E06C0"/>
    <w:rsid w:val="005E4A1A"/>
    <w:rsid w:val="005E58D3"/>
    <w:rsid w:val="005E6E16"/>
    <w:rsid w:val="005F400E"/>
    <w:rsid w:val="005F7342"/>
    <w:rsid w:val="00610A3C"/>
    <w:rsid w:val="006138D7"/>
    <w:rsid w:val="00615E83"/>
    <w:rsid w:val="00616017"/>
    <w:rsid w:val="00620474"/>
    <w:rsid w:val="00627F48"/>
    <w:rsid w:val="0063455F"/>
    <w:rsid w:val="00635814"/>
    <w:rsid w:val="00663FCF"/>
    <w:rsid w:val="006652A2"/>
    <w:rsid w:val="00683071"/>
    <w:rsid w:val="00684BF8"/>
    <w:rsid w:val="00692490"/>
    <w:rsid w:val="006969CC"/>
    <w:rsid w:val="00696A15"/>
    <w:rsid w:val="006A48A7"/>
    <w:rsid w:val="006A5D40"/>
    <w:rsid w:val="006C116D"/>
    <w:rsid w:val="006C22A7"/>
    <w:rsid w:val="006C264D"/>
    <w:rsid w:val="006C2A67"/>
    <w:rsid w:val="006C5CF5"/>
    <w:rsid w:val="006C7583"/>
    <w:rsid w:val="006D33FF"/>
    <w:rsid w:val="006E10A1"/>
    <w:rsid w:val="006E4D8A"/>
    <w:rsid w:val="006F4A82"/>
    <w:rsid w:val="00710C37"/>
    <w:rsid w:val="0072039B"/>
    <w:rsid w:val="00724FA4"/>
    <w:rsid w:val="00730800"/>
    <w:rsid w:val="007334D9"/>
    <w:rsid w:val="00755F02"/>
    <w:rsid w:val="007602AA"/>
    <w:rsid w:val="007652EF"/>
    <w:rsid w:val="00765DE1"/>
    <w:rsid w:val="00772BDC"/>
    <w:rsid w:val="007749F7"/>
    <w:rsid w:val="00777437"/>
    <w:rsid w:val="007776B4"/>
    <w:rsid w:val="00777F84"/>
    <w:rsid w:val="00780792"/>
    <w:rsid w:val="0078309E"/>
    <w:rsid w:val="00784E92"/>
    <w:rsid w:val="00790FD8"/>
    <w:rsid w:val="007930E7"/>
    <w:rsid w:val="00795D86"/>
    <w:rsid w:val="007A44B4"/>
    <w:rsid w:val="007A53BF"/>
    <w:rsid w:val="007A6596"/>
    <w:rsid w:val="007A7D3D"/>
    <w:rsid w:val="007B225D"/>
    <w:rsid w:val="007B37B3"/>
    <w:rsid w:val="007C1C64"/>
    <w:rsid w:val="007C22CB"/>
    <w:rsid w:val="007D0189"/>
    <w:rsid w:val="007D085C"/>
    <w:rsid w:val="007D7C03"/>
    <w:rsid w:val="007E2E6A"/>
    <w:rsid w:val="007E48BC"/>
    <w:rsid w:val="007E79F7"/>
    <w:rsid w:val="007E7DA2"/>
    <w:rsid w:val="007F1D40"/>
    <w:rsid w:val="007F3630"/>
    <w:rsid w:val="007F7BF7"/>
    <w:rsid w:val="008009B4"/>
    <w:rsid w:val="00807559"/>
    <w:rsid w:val="00813464"/>
    <w:rsid w:val="00831154"/>
    <w:rsid w:val="008450BC"/>
    <w:rsid w:val="00845D45"/>
    <w:rsid w:val="00847066"/>
    <w:rsid w:val="00850B09"/>
    <w:rsid w:val="00852BC2"/>
    <w:rsid w:val="0085334B"/>
    <w:rsid w:val="008537BA"/>
    <w:rsid w:val="00856712"/>
    <w:rsid w:val="00860808"/>
    <w:rsid w:val="00861C13"/>
    <w:rsid w:val="00862349"/>
    <w:rsid w:val="0086571E"/>
    <w:rsid w:val="00870214"/>
    <w:rsid w:val="00871116"/>
    <w:rsid w:val="00885C51"/>
    <w:rsid w:val="00896B85"/>
    <w:rsid w:val="008A243D"/>
    <w:rsid w:val="008A6C7E"/>
    <w:rsid w:val="008C3E29"/>
    <w:rsid w:val="008C47B0"/>
    <w:rsid w:val="008C4E76"/>
    <w:rsid w:val="008C7AA3"/>
    <w:rsid w:val="008D06C6"/>
    <w:rsid w:val="008D5E9D"/>
    <w:rsid w:val="008D7B91"/>
    <w:rsid w:val="008E6250"/>
    <w:rsid w:val="00917C6F"/>
    <w:rsid w:val="00920249"/>
    <w:rsid w:val="00922C20"/>
    <w:rsid w:val="00932F14"/>
    <w:rsid w:val="00933874"/>
    <w:rsid w:val="0094247F"/>
    <w:rsid w:val="00942D60"/>
    <w:rsid w:val="0094358A"/>
    <w:rsid w:val="009460FA"/>
    <w:rsid w:val="00947534"/>
    <w:rsid w:val="009478A1"/>
    <w:rsid w:val="0096523B"/>
    <w:rsid w:val="00972D06"/>
    <w:rsid w:val="0099323D"/>
    <w:rsid w:val="0099623A"/>
    <w:rsid w:val="009A2699"/>
    <w:rsid w:val="009A2DC9"/>
    <w:rsid w:val="009A391C"/>
    <w:rsid w:val="009C472A"/>
    <w:rsid w:val="009E0A61"/>
    <w:rsid w:val="009E3010"/>
    <w:rsid w:val="009E46F5"/>
    <w:rsid w:val="009F7065"/>
    <w:rsid w:val="00A03E8E"/>
    <w:rsid w:val="00A2449C"/>
    <w:rsid w:val="00A318EB"/>
    <w:rsid w:val="00A52378"/>
    <w:rsid w:val="00A551B9"/>
    <w:rsid w:val="00A56DC7"/>
    <w:rsid w:val="00A66FDD"/>
    <w:rsid w:val="00A671E6"/>
    <w:rsid w:val="00A709E5"/>
    <w:rsid w:val="00A74FD1"/>
    <w:rsid w:val="00A815B0"/>
    <w:rsid w:val="00A84A58"/>
    <w:rsid w:val="00A929A9"/>
    <w:rsid w:val="00A96594"/>
    <w:rsid w:val="00AA41BA"/>
    <w:rsid w:val="00AA6D0D"/>
    <w:rsid w:val="00AA6FA3"/>
    <w:rsid w:val="00AA7460"/>
    <w:rsid w:val="00AB0379"/>
    <w:rsid w:val="00AB0FFD"/>
    <w:rsid w:val="00AC0756"/>
    <w:rsid w:val="00AC1692"/>
    <w:rsid w:val="00AC428E"/>
    <w:rsid w:val="00AC4F9D"/>
    <w:rsid w:val="00AD344F"/>
    <w:rsid w:val="00AE4FFD"/>
    <w:rsid w:val="00AF24FA"/>
    <w:rsid w:val="00AF387F"/>
    <w:rsid w:val="00AF397D"/>
    <w:rsid w:val="00AF43D5"/>
    <w:rsid w:val="00B00E7F"/>
    <w:rsid w:val="00B10548"/>
    <w:rsid w:val="00B17112"/>
    <w:rsid w:val="00B21055"/>
    <w:rsid w:val="00B21DCC"/>
    <w:rsid w:val="00B25F37"/>
    <w:rsid w:val="00B37158"/>
    <w:rsid w:val="00B425AA"/>
    <w:rsid w:val="00B44422"/>
    <w:rsid w:val="00B46EA0"/>
    <w:rsid w:val="00B55714"/>
    <w:rsid w:val="00B63BBA"/>
    <w:rsid w:val="00B67E7D"/>
    <w:rsid w:val="00B72A0D"/>
    <w:rsid w:val="00B731D3"/>
    <w:rsid w:val="00B757D3"/>
    <w:rsid w:val="00B75B57"/>
    <w:rsid w:val="00B77C18"/>
    <w:rsid w:val="00B811B3"/>
    <w:rsid w:val="00B83437"/>
    <w:rsid w:val="00B839A3"/>
    <w:rsid w:val="00B902BD"/>
    <w:rsid w:val="00B9066F"/>
    <w:rsid w:val="00B92501"/>
    <w:rsid w:val="00BA1009"/>
    <w:rsid w:val="00BB0EC9"/>
    <w:rsid w:val="00BB4FBF"/>
    <w:rsid w:val="00BC61ED"/>
    <w:rsid w:val="00BD2A39"/>
    <w:rsid w:val="00BD2E80"/>
    <w:rsid w:val="00BD49FF"/>
    <w:rsid w:val="00BD4B64"/>
    <w:rsid w:val="00BD77E1"/>
    <w:rsid w:val="00BE11B8"/>
    <w:rsid w:val="00BF45A3"/>
    <w:rsid w:val="00BF7FF0"/>
    <w:rsid w:val="00C05BD9"/>
    <w:rsid w:val="00C11AEA"/>
    <w:rsid w:val="00C12502"/>
    <w:rsid w:val="00C264B3"/>
    <w:rsid w:val="00C26B3B"/>
    <w:rsid w:val="00C26B8F"/>
    <w:rsid w:val="00C35773"/>
    <w:rsid w:val="00C40AA5"/>
    <w:rsid w:val="00C46F70"/>
    <w:rsid w:val="00C476D0"/>
    <w:rsid w:val="00C52E74"/>
    <w:rsid w:val="00C6434A"/>
    <w:rsid w:val="00C64555"/>
    <w:rsid w:val="00C74398"/>
    <w:rsid w:val="00C775FB"/>
    <w:rsid w:val="00C830B9"/>
    <w:rsid w:val="00C836E3"/>
    <w:rsid w:val="00C836FF"/>
    <w:rsid w:val="00C854DC"/>
    <w:rsid w:val="00C86577"/>
    <w:rsid w:val="00C90381"/>
    <w:rsid w:val="00C91C02"/>
    <w:rsid w:val="00C92E07"/>
    <w:rsid w:val="00C96868"/>
    <w:rsid w:val="00CA0416"/>
    <w:rsid w:val="00CA5734"/>
    <w:rsid w:val="00CA7FA2"/>
    <w:rsid w:val="00CB115C"/>
    <w:rsid w:val="00CC3764"/>
    <w:rsid w:val="00CC3A35"/>
    <w:rsid w:val="00CC5468"/>
    <w:rsid w:val="00CC560B"/>
    <w:rsid w:val="00CC75E2"/>
    <w:rsid w:val="00CD46EB"/>
    <w:rsid w:val="00CD7EBF"/>
    <w:rsid w:val="00CE59AA"/>
    <w:rsid w:val="00CF0E86"/>
    <w:rsid w:val="00D00DFA"/>
    <w:rsid w:val="00D056F1"/>
    <w:rsid w:val="00D06616"/>
    <w:rsid w:val="00D144D7"/>
    <w:rsid w:val="00D148DD"/>
    <w:rsid w:val="00D15A08"/>
    <w:rsid w:val="00D23DB6"/>
    <w:rsid w:val="00D24F1B"/>
    <w:rsid w:val="00D51A95"/>
    <w:rsid w:val="00D60568"/>
    <w:rsid w:val="00D61C38"/>
    <w:rsid w:val="00D70C7A"/>
    <w:rsid w:val="00D72A29"/>
    <w:rsid w:val="00D834E5"/>
    <w:rsid w:val="00D96C9C"/>
    <w:rsid w:val="00DA10A8"/>
    <w:rsid w:val="00DA525E"/>
    <w:rsid w:val="00DB123A"/>
    <w:rsid w:val="00DB1E08"/>
    <w:rsid w:val="00DB2973"/>
    <w:rsid w:val="00DB65E6"/>
    <w:rsid w:val="00DC0FBA"/>
    <w:rsid w:val="00DC1B56"/>
    <w:rsid w:val="00DC20CC"/>
    <w:rsid w:val="00DC2129"/>
    <w:rsid w:val="00DC4182"/>
    <w:rsid w:val="00DC6570"/>
    <w:rsid w:val="00DD265C"/>
    <w:rsid w:val="00DD322B"/>
    <w:rsid w:val="00DD3703"/>
    <w:rsid w:val="00DE5528"/>
    <w:rsid w:val="00DF25C3"/>
    <w:rsid w:val="00DF5CFF"/>
    <w:rsid w:val="00DF72BB"/>
    <w:rsid w:val="00E04062"/>
    <w:rsid w:val="00E063C6"/>
    <w:rsid w:val="00E2003B"/>
    <w:rsid w:val="00E26887"/>
    <w:rsid w:val="00E279D8"/>
    <w:rsid w:val="00E30092"/>
    <w:rsid w:val="00E319B1"/>
    <w:rsid w:val="00E327A6"/>
    <w:rsid w:val="00E3684F"/>
    <w:rsid w:val="00E47D3B"/>
    <w:rsid w:val="00E5492F"/>
    <w:rsid w:val="00E572B1"/>
    <w:rsid w:val="00E6369A"/>
    <w:rsid w:val="00E67342"/>
    <w:rsid w:val="00E70A86"/>
    <w:rsid w:val="00E73E50"/>
    <w:rsid w:val="00E777EC"/>
    <w:rsid w:val="00E80FCD"/>
    <w:rsid w:val="00E82F5F"/>
    <w:rsid w:val="00E867C3"/>
    <w:rsid w:val="00E90390"/>
    <w:rsid w:val="00E92E6F"/>
    <w:rsid w:val="00EA2226"/>
    <w:rsid w:val="00EA7DB0"/>
    <w:rsid w:val="00EA7F2F"/>
    <w:rsid w:val="00EB11D4"/>
    <w:rsid w:val="00EB1F85"/>
    <w:rsid w:val="00EB305C"/>
    <w:rsid w:val="00EB576F"/>
    <w:rsid w:val="00EB6590"/>
    <w:rsid w:val="00EC00DE"/>
    <w:rsid w:val="00EC21DF"/>
    <w:rsid w:val="00EC2D03"/>
    <w:rsid w:val="00EC30E1"/>
    <w:rsid w:val="00EC3436"/>
    <w:rsid w:val="00EC3B70"/>
    <w:rsid w:val="00EC66BB"/>
    <w:rsid w:val="00ED172A"/>
    <w:rsid w:val="00EE01DC"/>
    <w:rsid w:val="00EE3719"/>
    <w:rsid w:val="00F0714A"/>
    <w:rsid w:val="00F12A79"/>
    <w:rsid w:val="00F14AB3"/>
    <w:rsid w:val="00F14BEC"/>
    <w:rsid w:val="00F17BE9"/>
    <w:rsid w:val="00F224B7"/>
    <w:rsid w:val="00F225C5"/>
    <w:rsid w:val="00F2587A"/>
    <w:rsid w:val="00F33470"/>
    <w:rsid w:val="00F34E02"/>
    <w:rsid w:val="00F3713C"/>
    <w:rsid w:val="00F3715D"/>
    <w:rsid w:val="00F37A10"/>
    <w:rsid w:val="00F41ACB"/>
    <w:rsid w:val="00F420C8"/>
    <w:rsid w:val="00F424BF"/>
    <w:rsid w:val="00F42A4C"/>
    <w:rsid w:val="00F47C28"/>
    <w:rsid w:val="00F526BD"/>
    <w:rsid w:val="00F53EB2"/>
    <w:rsid w:val="00F56C1D"/>
    <w:rsid w:val="00F634A1"/>
    <w:rsid w:val="00F9726C"/>
    <w:rsid w:val="00FA1923"/>
    <w:rsid w:val="00FB7512"/>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F622AA9"/>
  <w15:docId w15:val="{D3B2A0B2-DB3C-473C-AA74-C13D3BD7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DA525E"/>
    <w:pPr>
      <w:ind w:left="720"/>
      <w:contextualSpacing/>
    </w:pPr>
  </w:style>
  <w:style w:type="paragraph" w:customStyle="1" w:styleId="AARBullet">
    <w:name w:val="AAR Bullet"/>
    <w:basedOn w:val="Normal"/>
    <w:qFormat/>
    <w:rsid w:val="00A03E8E"/>
    <w:pPr>
      <w:widowControl/>
      <w:numPr>
        <w:numId w:val="10"/>
      </w:numPr>
      <w:spacing w:before="60" w:after="60"/>
    </w:pPr>
    <w:rPr>
      <w:rFonts w:cs="Arial"/>
      <w:sz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47843605">
      <w:bodyDiv w:val="1"/>
      <w:marLeft w:val="0"/>
      <w:marRight w:val="0"/>
      <w:marTop w:val="0"/>
      <w:marBottom w:val="0"/>
      <w:divBdr>
        <w:top w:val="none" w:sz="0" w:space="0" w:color="auto"/>
        <w:left w:val="none" w:sz="0" w:space="0" w:color="auto"/>
        <w:bottom w:val="none" w:sz="0" w:space="0" w:color="auto"/>
        <w:right w:val="none" w:sz="0" w:space="0" w:color="auto"/>
      </w:divBdr>
      <w:divsChild>
        <w:div w:id="142892337">
          <w:marLeft w:val="0"/>
          <w:marRight w:val="0"/>
          <w:marTop w:val="0"/>
          <w:marBottom w:val="0"/>
          <w:divBdr>
            <w:top w:val="none" w:sz="0" w:space="0" w:color="auto"/>
            <w:left w:val="none" w:sz="0" w:space="0" w:color="auto"/>
            <w:bottom w:val="none" w:sz="0" w:space="0" w:color="auto"/>
            <w:right w:val="none" w:sz="0" w:space="0" w:color="auto"/>
          </w:divBdr>
          <w:divsChild>
            <w:div w:id="510528686">
              <w:marLeft w:val="0"/>
              <w:marRight w:val="0"/>
              <w:marTop w:val="0"/>
              <w:marBottom w:val="0"/>
              <w:divBdr>
                <w:top w:val="none" w:sz="0" w:space="0" w:color="auto"/>
                <w:left w:val="none" w:sz="0" w:space="0" w:color="auto"/>
                <w:bottom w:val="none" w:sz="0" w:space="0" w:color="auto"/>
                <w:right w:val="none" w:sz="0" w:space="0" w:color="auto"/>
              </w:divBdr>
              <w:divsChild>
                <w:div w:id="1710571312">
                  <w:marLeft w:val="0"/>
                  <w:marRight w:val="0"/>
                  <w:marTop w:val="0"/>
                  <w:marBottom w:val="0"/>
                  <w:divBdr>
                    <w:top w:val="none" w:sz="0" w:space="0" w:color="auto"/>
                    <w:left w:val="none" w:sz="0" w:space="0" w:color="auto"/>
                    <w:bottom w:val="none" w:sz="0" w:space="0" w:color="auto"/>
                    <w:right w:val="none" w:sz="0" w:space="0" w:color="auto"/>
                  </w:divBdr>
                  <w:divsChild>
                    <w:div w:id="1474636095">
                      <w:marLeft w:val="3000"/>
                      <w:marRight w:val="0"/>
                      <w:marTop w:val="0"/>
                      <w:marBottom w:val="75"/>
                      <w:divBdr>
                        <w:top w:val="none" w:sz="0" w:space="0" w:color="auto"/>
                        <w:left w:val="none" w:sz="0" w:space="0" w:color="auto"/>
                        <w:bottom w:val="none" w:sz="0" w:space="0" w:color="auto"/>
                        <w:right w:val="none" w:sz="0" w:space="0" w:color="auto"/>
                      </w:divBdr>
                      <w:divsChild>
                        <w:div w:id="1597206585">
                          <w:marLeft w:val="0"/>
                          <w:marRight w:val="0"/>
                          <w:marTop w:val="0"/>
                          <w:marBottom w:val="0"/>
                          <w:divBdr>
                            <w:top w:val="none" w:sz="0" w:space="0" w:color="auto"/>
                            <w:left w:val="none" w:sz="0" w:space="0" w:color="auto"/>
                            <w:bottom w:val="none" w:sz="0" w:space="0" w:color="auto"/>
                            <w:right w:val="none" w:sz="0" w:space="0" w:color="auto"/>
                          </w:divBdr>
                          <w:divsChild>
                            <w:div w:id="2142529015">
                              <w:marLeft w:val="0"/>
                              <w:marRight w:val="0"/>
                              <w:marTop w:val="0"/>
                              <w:marBottom w:val="0"/>
                              <w:divBdr>
                                <w:top w:val="none" w:sz="0" w:space="0" w:color="auto"/>
                                <w:left w:val="none" w:sz="0" w:space="0" w:color="auto"/>
                                <w:bottom w:val="none" w:sz="0" w:space="0" w:color="auto"/>
                                <w:right w:val="none" w:sz="0" w:space="0" w:color="auto"/>
                              </w:divBdr>
                              <w:divsChild>
                                <w:div w:id="609047064">
                                  <w:marLeft w:val="0"/>
                                  <w:marRight w:val="0"/>
                                  <w:marTop w:val="0"/>
                                  <w:marBottom w:val="0"/>
                                  <w:divBdr>
                                    <w:top w:val="none" w:sz="0" w:space="0" w:color="auto"/>
                                    <w:left w:val="none" w:sz="0" w:space="0" w:color="auto"/>
                                    <w:bottom w:val="none" w:sz="0" w:space="0" w:color="auto"/>
                                    <w:right w:val="none" w:sz="0" w:space="0" w:color="auto"/>
                                  </w:divBdr>
                                  <w:divsChild>
                                    <w:div w:id="1379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454804">
      <w:bodyDiv w:val="1"/>
      <w:marLeft w:val="0"/>
      <w:marRight w:val="0"/>
      <w:marTop w:val="0"/>
      <w:marBottom w:val="0"/>
      <w:divBdr>
        <w:top w:val="none" w:sz="0" w:space="0" w:color="auto"/>
        <w:left w:val="none" w:sz="0" w:space="0" w:color="auto"/>
        <w:bottom w:val="none" w:sz="0" w:space="0" w:color="auto"/>
        <w:right w:val="none" w:sz="0" w:space="0" w:color="auto"/>
      </w:divBdr>
      <w:divsChild>
        <w:div w:id="1453862647">
          <w:marLeft w:val="0"/>
          <w:marRight w:val="0"/>
          <w:marTop w:val="0"/>
          <w:marBottom w:val="0"/>
          <w:divBdr>
            <w:top w:val="none" w:sz="0" w:space="0" w:color="auto"/>
            <w:left w:val="none" w:sz="0" w:space="0" w:color="auto"/>
            <w:bottom w:val="none" w:sz="0" w:space="0" w:color="auto"/>
            <w:right w:val="none" w:sz="0" w:space="0" w:color="auto"/>
          </w:divBdr>
          <w:divsChild>
            <w:div w:id="1984190729">
              <w:marLeft w:val="0"/>
              <w:marRight w:val="0"/>
              <w:marTop w:val="0"/>
              <w:marBottom w:val="0"/>
              <w:divBdr>
                <w:top w:val="none" w:sz="0" w:space="0" w:color="auto"/>
                <w:left w:val="none" w:sz="0" w:space="0" w:color="auto"/>
                <w:bottom w:val="none" w:sz="0" w:space="0" w:color="auto"/>
                <w:right w:val="none" w:sz="0" w:space="0" w:color="auto"/>
              </w:divBdr>
              <w:divsChild>
                <w:div w:id="168840224">
                  <w:marLeft w:val="0"/>
                  <w:marRight w:val="0"/>
                  <w:marTop w:val="0"/>
                  <w:marBottom w:val="0"/>
                  <w:divBdr>
                    <w:top w:val="none" w:sz="0" w:space="0" w:color="auto"/>
                    <w:left w:val="none" w:sz="0" w:space="0" w:color="auto"/>
                    <w:bottom w:val="none" w:sz="0" w:space="0" w:color="auto"/>
                    <w:right w:val="none" w:sz="0" w:space="0" w:color="auto"/>
                  </w:divBdr>
                  <w:divsChild>
                    <w:div w:id="1111708965">
                      <w:marLeft w:val="3000"/>
                      <w:marRight w:val="0"/>
                      <w:marTop w:val="0"/>
                      <w:marBottom w:val="75"/>
                      <w:divBdr>
                        <w:top w:val="none" w:sz="0" w:space="0" w:color="auto"/>
                        <w:left w:val="none" w:sz="0" w:space="0" w:color="auto"/>
                        <w:bottom w:val="none" w:sz="0" w:space="0" w:color="auto"/>
                        <w:right w:val="none" w:sz="0" w:space="0" w:color="auto"/>
                      </w:divBdr>
                      <w:divsChild>
                        <w:div w:id="106779575">
                          <w:marLeft w:val="0"/>
                          <w:marRight w:val="0"/>
                          <w:marTop w:val="0"/>
                          <w:marBottom w:val="0"/>
                          <w:divBdr>
                            <w:top w:val="none" w:sz="0" w:space="0" w:color="auto"/>
                            <w:left w:val="none" w:sz="0" w:space="0" w:color="auto"/>
                            <w:bottom w:val="none" w:sz="0" w:space="0" w:color="auto"/>
                            <w:right w:val="none" w:sz="0" w:space="0" w:color="auto"/>
                          </w:divBdr>
                          <w:divsChild>
                            <w:div w:id="1773167450">
                              <w:marLeft w:val="0"/>
                              <w:marRight w:val="0"/>
                              <w:marTop w:val="0"/>
                              <w:marBottom w:val="0"/>
                              <w:divBdr>
                                <w:top w:val="none" w:sz="0" w:space="0" w:color="auto"/>
                                <w:left w:val="none" w:sz="0" w:space="0" w:color="auto"/>
                                <w:bottom w:val="none" w:sz="0" w:space="0" w:color="auto"/>
                                <w:right w:val="none" w:sz="0" w:space="0" w:color="auto"/>
                              </w:divBdr>
                              <w:divsChild>
                                <w:div w:id="960190219">
                                  <w:marLeft w:val="0"/>
                                  <w:marRight w:val="0"/>
                                  <w:marTop w:val="0"/>
                                  <w:marBottom w:val="0"/>
                                  <w:divBdr>
                                    <w:top w:val="none" w:sz="0" w:space="0" w:color="auto"/>
                                    <w:left w:val="none" w:sz="0" w:space="0" w:color="auto"/>
                                    <w:bottom w:val="none" w:sz="0" w:space="0" w:color="auto"/>
                                    <w:right w:val="none" w:sz="0" w:space="0" w:color="auto"/>
                                  </w:divBdr>
                                  <w:divsChild>
                                    <w:div w:id="10196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oodstandards.gov.au/code/applications/Pages/A1216.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standards.gov.au/code/applications/Pages/A1216.aspx" TargetMode="External"/><Relationship Id="rId20" Type="http://schemas.openxmlformats.org/officeDocument/2006/relationships/hyperlink" Target="https://www.foodstandards.gov.au/code/applications/Pages/A1216.aspx"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hyperlink" Target="http://www.fao.org/3/a1554e/a1554e00.htm" TargetMode="Externa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en/health-canada/services/food-nutrition/genetically-modified-foods-other-novel-foods/safety.html" TargetMode="External"/><Relationship Id="rId2" Type="http://schemas.openxmlformats.org/officeDocument/2006/relationships/hyperlink" Target="https://www.foodstandards.gov.au/science/international/Pages/gm-food-safety.aspx" TargetMode="External"/><Relationship Id="rId1" Type="http://schemas.openxmlformats.org/officeDocument/2006/relationships/hyperlink" Target="https://www.foodstandards.gov.au/code/applications/Pages/A1216.aspx" TargetMode="External"/><Relationship Id="rId6" Type="http://schemas.openxmlformats.org/officeDocument/2006/relationships/hyperlink" Target="https://www.foodstandards.gov.au/code/applications/Pages/A1216.aspx" TargetMode="External"/><Relationship Id="rId5" Type="http://schemas.openxmlformats.org/officeDocument/2006/relationships/hyperlink" Target="https://www.foodstandards.gov.au/science/international/Pages/gm-food-safety.aspx" TargetMode="External"/><Relationship Id="rId4" Type="http://schemas.openxmlformats.org/officeDocument/2006/relationships/hyperlink" Target="https://www.foodstandards.gov.au/code/changes/pages/applicationshandbook.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315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Agenda papers</TermName>
          <TermId xmlns="http://schemas.microsoft.com/office/infopath/2007/PartnerControls">6e530783-c5c6-4772-93f9-dbabdcf97c03</TermId>
        </TermInfo>
      </Terms>
    </bd06d2da0152468b9236b575a71e0e7c>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_dlc_DocId xmlns="5759555f-5bed-45a4-a4c2-4e28e2623455">MMF7YEMDTSDN-221-53229</_dlc_DocId>
    <_dlc_DocIdPersistId xmlns="5759555f-5bed-45a4-a4c2-4e28e2623455" xsi:nil="true"/>
    <_dlc_DocIdUrl xmlns="5759555f-5bed-45a4-a4c2-4e28e2623455">
      <Url>http://fsintranet/IWG/Board/_layouts/15/DocIdRedir.aspx?ID=MMF7YEMDTSDN-221-53229</Url>
      <Description>MMF7YEMDTSDN-221-53229</Description>
    </_dlc_DocIdUrl>
  </documentManagement>
</p:propertie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4E6F-685A-4EC0-9F06-CD60DE2C0A69}"/>
</file>

<file path=customXml/itemProps2.xml><?xml version="1.0" encoding="utf-8"?>
<ds:datastoreItem xmlns:ds="http://schemas.openxmlformats.org/officeDocument/2006/customXml" ds:itemID="{D3780D6F-6820-4910-8C4C-071B6AE461C2}"/>
</file>

<file path=customXml/itemProps3.xml><?xml version="1.0" encoding="utf-8"?>
<ds:datastoreItem xmlns:ds="http://schemas.openxmlformats.org/officeDocument/2006/customXml" ds:itemID="{626B695C-24D8-4A1D-B2C5-DD68A20D97AC}"/>
</file>

<file path=customXml/itemProps4.xml><?xml version="1.0" encoding="utf-8"?>
<ds:datastoreItem xmlns:ds="http://schemas.openxmlformats.org/officeDocument/2006/customXml" ds:itemID="{A167F980-120F-412A-91BD-23FE5053C961}">
  <ds:schemaRefs>
    <ds:schemaRef ds:uri="http://schemas.microsoft.com/office/2006/metadata/customXsn"/>
  </ds:schemaRefs>
</ds:datastoreItem>
</file>

<file path=customXml/itemProps5.xml><?xml version="1.0" encoding="utf-8"?>
<ds:datastoreItem xmlns:ds="http://schemas.openxmlformats.org/officeDocument/2006/customXml" ds:itemID="{19FDC0E4-4127-463D-8366-733167F90703}">
  <ds:schemaRefs>
    <ds:schemaRef ds:uri="Microsoft.SharePoint.Taxonomy.ContentTypeSync"/>
  </ds:schemaRefs>
</ds:datastoreItem>
</file>

<file path=customXml/itemProps6.xml><?xml version="1.0" encoding="utf-8"?>
<ds:datastoreItem xmlns:ds="http://schemas.openxmlformats.org/officeDocument/2006/customXml" ds:itemID="{D3780D6F-6820-4910-8C4C-071B6AE461C2}">
  <ds:schemaRefs>
    <ds:schemaRef ds:uri="http://purl.org/dc/dcmitype/"/>
    <ds:schemaRef ds:uri="http://purl.org/dc/elements/1.1/"/>
    <ds:schemaRef ds:uri="http://purl.org/dc/terms/"/>
    <ds:schemaRef ds:uri="ec50576e-4a27-4780-a1e1-e59563bc70b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759555f-5bed-45a4-a4c2-4e28e2623455"/>
    <ds:schemaRef ds:uri="http://www.w3.org/XML/1998/namespace"/>
  </ds:schemaRefs>
</ds:datastoreItem>
</file>

<file path=customXml/itemProps7.xml><?xml version="1.0" encoding="utf-8"?>
<ds:datastoreItem xmlns:ds="http://schemas.openxmlformats.org/officeDocument/2006/customXml" ds:itemID="{F9DB9E89-B46F-4B03-8B20-9D078BC23BE2}"/>
</file>

<file path=customXml/itemProps8.xml><?xml version="1.0" encoding="utf-8"?>
<ds:datastoreItem xmlns:ds="http://schemas.openxmlformats.org/officeDocument/2006/customXml" ds:itemID="{B7F1841E-EC77-46DA-A0C5-2931BB23069B}"/>
</file>

<file path=docProps/app.xml><?xml version="1.0" encoding="utf-8"?>
<Properties xmlns="http://schemas.openxmlformats.org/officeDocument/2006/extended-properties" xmlns:vt="http://schemas.openxmlformats.org/officeDocument/2006/docPropsVTypes">
  <Template>Report - Approval</Template>
  <TotalTime>0</TotalTime>
  <Pages>16</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34743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KellyL</dc:creator>
  <cp:keywords/>
  <cp:lastModifiedBy>Tailee Vecchi</cp:lastModifiedBy>
  <cp:revision>2</cp:revision>
  <cp:lastPrinted>2021-03-22T02:43:00Z</cp:lastPrinted>
  <dcterms:created xsi:type="dcterms:W3CDTF">2021-05-10T02:11:00Z</dcterms:created>
  <dcterms:modified xsi:type="dcterms:W3CDTF">2021-05-10T02:11:00Z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1e012584-46bc-496e-8c79-c02c2fda4e57</vt:lpwstr>
  </property>
  <property fmtid="{D5CDD505-2E9C-101B-9397-08002B2CF9AE}" pid="7" name="DisposalClass">
    <vt:lpwstr/>
  </property>
  <property fmtid="{D5CDD505-2E9C-101B-9397-08002B2CF9AE}" pid="8" name="BCS_">
    <vt:lpwstr>315;#Agenda papers|6e530783-c5c6-4772-93f9-dbabdcf97c03</vt:lpwstr>
  </property>
  <property fmtid="{D5CDD505-2E9C-101B-9397-08002B2CF9AE}" pid="9" name="RecordPoint_WorkflowType">
    <vt:lpwstr>ActiveSubmitStub</vt:lpwstr>
  </property>
  <property fmtid="{D5CDD505-2E9C-101B-9397-08002B2CF9AE}" pid="10" name="RecordPoint_ActiveItemUniqueId">
    <vt:lpwstr>{1e012584-46bc-496e-8c79-c02c2fda4e57}</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R0000145385</vt:lpwstr>
  </property>
  <property fmtid="{D5CDD505-2E9C-101B-9397-08002B2CF9AE}" pid="15" name="RecordPoint_SubmissionCompleted">
    <vt:lpwstr>2021-04-29T16:05:18.0184981+10:00</vt:lpwstr>
  </property>
  <property fmtid="{D5CDD505-2E9C-101B-9397-08002B2CF9AE}" pid="16" name="DataAccessibility">
    <vt:lpwstr/>
  </property>
  <property fmtid="{D5CDD505-2E9C-101B-9397-08002B2CF9AE}" pid="17" name="Origin">
    <vt:lpwstr>, </vt:lpwstr>
  </property>
  <property fmtid="{D5CDD505-2E9C-101B-9397-08002B2CF9AE}" pid="18" name="SummaryDocument">
    <vt:lpwstr>, </vt:lpwstr>
  </property>
  <property fmtid="{D5CDD505-2E9C-101B-9397-08002B2CF9AE}" pid="19" name="DataPrivacy">
    <vt:lpwstr/>
  </property>
  <property fmtid="{D5CDD505-2E9C-101B-9397-08002B2CF9AE}" pid="20" name="DataCategory">
    <vt:lpwstr/>
  </property>
  <property fmtid="{D5CDD505-2E9C-101B-9397-08002B2CF9AE}" pid="21" name="DataCustodian">
    <vt:lpwstr/>
  </property>
  <property fmtid="{D5CDD505-2E9C-101B-9397-08002B2CF9AE}" pid="22" name="MachineReadable">
    <vt:bool>false</vt:bool>
  </property>
  <property fmtid="{D5CDD505-2E9C-101B-9397-08002B2CF9AE}" pid="23" name="DataCategoryTaxHTField">
    <vt:lpwstr/>
  </property>
  <property fmtid="{D5CDD505-2E9C-101B-9397-08002B2CF9AE}" pid="24" name="DataPrivacyTaxHTField">
    <vt:lpwstr/>
  </property>
  <property fmtid="{D5CDD505-2E9C-101B-9397-08002B2CF9AE}" pid="25" name="DataAccessibilityTaxHTField">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30" name="bjDocumentLabelXML-0">
    <vt:lpwstr>ames.com/2008/01/sie/internal/label"&gt;&lt;element uid="66ddac19-06c4-4e63-b4dd-d8240d87a23f" value="" /&gt;&lt;/sisl&gt;</vt:lpwstr>
  </property>
  <property fmtid="{D5CDD505-2E9C-101B-9397-08002B2CF9AE}" pid="31" name="bjDocumentSecurityLabel">
    <vt:lpwstr>NO SECURITY CLASSIFICATION REQUIRED</vt:lpwstr>
  </property>
</Properties>
</file>